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5BDA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附件</w:t>
      </w:r>
      <w:r>
        <w:rPr>
          <w:rFonts w:hint="eastAsia" w:ascii="黑体" w:hAnsi="黑体" w:eastAsia="黑体" w:cs="黑体"/>
          <w:b/>
          <w:bCs/>
          <w:color w:val="000000" w:themeColor="text1"/>
          <w:sz w:val="32"/>
          <w:szCs w:val="32"/>
          <w:lang w:val="en-US" w:eastAsia="zh-CN"/>
          <w14:textFill>
            <w14:solidFill>
              <w14:schemeClr w14:val="tx1"/>
            </w14:solidFill>
          </w14:textFill>
        </w:rPr>
        <w:t>6</w:t>
      </w:r>
      <w:bookmarkStart w:id="0" w:name="_GoBack"/>
      <w:bookmarkEnd w:id="0"/>
    </w:p>
    <w:p w14:paraId="244D3D7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p>
    <w:p w14:paraId="3D2973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偏离情况表</w:t>
      </w:r>
    </w:p>
    <w:p w14:paraId="18F121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p>
    <w:tbl>
      <w:tblPr>
        <w:tblStyle w:val="5"/>
        <w:tblW w:w="154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631"/>
        <w:gridCol w:w="812"/>
        <w:gridCol w:w="6895"/>
        <w:gridCol w:w="5180"/>
        <w:gridCol w:w="714"/>
        <w:gridCol w:w="733"/>
      </w:tblGrid>
      <w:tr w14:paraId="1B44E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393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3F6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类别</w:t>
            </w: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0F6F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服务需求</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776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供应商响应</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330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偏离情况</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EE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文件索引</w:t>
            </w:r>
          </w:p>
        </w:tc>
      </w:tr>
      <w:tr w14:paraId="35BB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1ACC">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F0E7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项目服务内容及要求</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4C5D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机构及人员资质要求</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768F">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1.服务机构须持有有效的人力资源服务许可证、劳务派遣经营许可证。</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B230">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3AE1">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3EDB">
            <w:pPr>
              <w:keepNext w:val="0"/>
              <w:keepLines w:val="0"/>
              <w:widowControl/>
              <w:suppressLineNumbers w:val="0"/>
              <w:jc w:val="left"/>
              <w:textAlignment w:val="center"/>
              <w:rPr>
                <w:rFonts w:hint="eastAsia" w:ascii="仿宋" w:hAnsi="仿宋" w:eastAsia="仿宋" w:cs="仿宋"/>
                <w:i w:val="0"/>
                <w:iCs w:val="0"/>
                <w:color w:val="auto"/>
                <w:sz w:val="24"/>
                <w:szCs w:val="24"/>
                <w:u w:val="singl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50A7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85AF">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C2FF8">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E5BB1">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3DF1">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2.服务机构可实现医疗护理员个人档案信息化管理，能提供与</w:t>
            </w:r>
            <w:r>
              <w:rPr>
                <w:rStyle w:val="11"/>
                <w:rFonts w:hint="eastAsia" w:ascii="仿宋" w:hAnsi="仿宋" w:eastAsia="仿宋" w:cs="仿宋"/>
                <w:color w:val="auto"/>
                <w:sz w:val="24"/>
                <w:szCs w:val="24"/>
                <w:lang w:val="en-US" w:eastAsia="zh-CN" w:bidi="ar"/>
              </w:rPr>
              <w:t>医疗护理员管理、</w:t>
            </w:r>
            <w:r>
              <w:rPr>
                <w:rFonts w:hint="eastAsia" w:ascii="仿宋" w:hAnsi="仿宋" w:eastAsia="仿宋" w:cs="仿宋"/>
                <w:i w:val="0"/>
                <w:iCs w:val="0"/>
                <w:color w:val="auto"/>
                <w:kern w:val="0"/>
                <w:sz w:val="24"/>
                <w:szCs w:val="24"/>
                <w:u w:val="none"/>
                <w:lang w:val="en-US" w:eastAsia="zh-CN" w:bidi="ar"/>
              </w:rPr>
              <w:t>培训平台对接的数据接口。</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AE92">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4BBA">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9424">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AED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EFDF">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C9CBC">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787B2">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431A">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上岗医疗护理员须持医疗护理员职业技能等级证书或病患陪护专项职业能力证书，同时提供近3个月内健康体检合格证明。服务机构须承担医疗护理员在执业过程中发生职业暴露时产生的所有相关费用，包括但不限于体检、诊疗、用药、随访、误工补偿等，同时建立完善的职业暴露应急处理机制并向医院报备；护理员健康体检须包含梅毒、艾滋病等传染病筛查项目，体检报告由医院备案留存。</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CF9D">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F0BE">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3AC4">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F53A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8AA1">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1D693">
            <w:pPr>
              <w:jc w:val="center"/>
              <w:rPr>
                <w:rFonts w:hint="eastAsia" w:ascii="仿宋" w:hAnsi="仿宋" w:eastAsia="仿宋" w:cs="仿宋"/>
                <w:i w:val="0"/>
                <w:iCs w:val="0"/>
                <w:color w:val="auto"/>
                <w:sz w:val="24"/>
                <w:szCs w:val="24"/>
                <w:u w:val="none"/>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F9C0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服务收费标准</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4F62">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计时照护：基础生活照护10元/人/8小时、二级生活照护25元/人/12小时、一级生活照护50元/人/16小时；上述收费标准为最高限价，服务机构不得上浮，可根据市场情况适当下浮，下浮比例须在投标文件中明确，中标后严格执行。</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C60C">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C408">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7B4F">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30CD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F8A1">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9589E">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22551">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86A3">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 全日照护：</w:t>
            </w:r>
            <w:r>
              <w:rPr>
                <w:rStyle w:val="11"/>
                <w:rFonts w:hint="eastAsia" w:ascii="仿宋" w:hAnsi="仿宋" w:eastAsia="仿宋" w:cs="仿宋"/>
                <w:color w:val="auto"/>
                <w:sz w:val="24"/>
                <w:szCs w:val="24"/>
                <w:lang w:val="en-US" w:eastAsia="zh-CN" w:bidi="ar"/>
              </w:rPr>
              <w:t>一对二照护140元/人/日、一对一专人照护200元/人/日；“一日”按连续24小时自然周期计算，例如当日7:00至次日7:00为1个完整服务日。计费以陪护服务实际启用、终止时间为准，据实滚动核算，须明确完整计费起止节点；严禁拆分计费、重复计费，不得额外收取其他任何服务费用。</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AF96">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3B50">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31FF">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1E6AC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4FA0">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D6D96">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4261F">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35DA27E">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共享陪护床租赁费最高限价为10元/床/晚，由服务机构自行采购设备，并全权负责陪护床的日常清洁消毒、定期安全巡检、日常维护及现场秩序管理；运营所需的消毒用品、一次性耗材等物资均由服务机构自行承担，不得占用医院公用物资，也不得向患者额外收取耗材费用。服务机构采购的共享陪护床须符合国家及行业安全质量标准，设备进场前须向医院提交产品合格证、第三方质量检测报告等完整资质文件，经医院验收合格后方可投入使用。陪护床开放使用时段为每日20:00至次日07:00，仅限住院患者陪护人员使用；使用时间超过次日07:00的，按以下规则计费：超出1小时内按半价计费，超出1小时以上的，按完整一晚的标准计费。也可根据临床科室的管理要求进行管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4C2E">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14B6">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A5C4">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EFB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ADA9">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59DAF">
            <w:pPr>
              <w:jc w:val="center"/>
              <w:rPr>
                <w:rFonts w:hint="eastAsia" w:ascii="仿宋" w:hAnsi="仿宋" w:eastAsia="仿宋" w:cs="仿宋"/>
                <w:i w:val="0"/>
                <w:iCs w:val="0"/>
                <w:color w:val="auto"/>
                <w:sz w:val="24"/>
                <w:szCs w:val="24"/>
                <w:u w:val="none"/>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A1AC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人员配置与排班要求</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5663CD9">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1.驻场管理人员：1名，年龄25-45周岁，具备2年以上医疗护理项目管理经验，统筹弹性排班、人员调配及日常管理。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B693">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07DF">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DC2A">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063E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4037">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A5DEE">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DDD1A">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8E34566">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2.医疗护理员：</w:t>
            </w:r>
            <w:r>
              <w:rPr>
                <w:rStyle w:val="11"/>
                <w:rFonts w:hint="eastAsia" w:ascii="仿宋" w:hAnsi="仿宋" w:eastAsia="仿宋" w:cs="仿宋"/>
                <w:color w:val="auto"/>
                <w:sz w:val="24"/>
                <w:szCs w:val="24"/>
                <w:lang w:val="en-US" w:eastAsia="zh-CN" w:bidi="ar"/>
              </w:rPr>
              <w:t>全院要求基础配置38</w:t>
            </w:r>
            <w:r>
              <w:rPr>
                <w:rFonts w:hint="eastAsia" w:ascii="仿宋" w:hAnsi="仿宋" w:eastAsia="仿宋" w:cs="仿宋"/>
                <w:i w:val="0"/>
                <w:iCs w:val="0"/>
                <w:color w:val="auto"/>
                <w:kern w:val="0"/>
                <w:sz w:val="24"/>
                <w:szCs w:val="24"/>
                <w:u w:val="none"/>
                <w:lang w:val="en-US" w:eastAsia="zh-CN" w:bidi="ar"/>
              </w:rPr>
              <w:t>名（年龄18-50周岁，初中及以上学历，持证上岗），科室配置明细见下表，医院可根据实际需求动态调整；机动人员可以负责午间、夜间标本送检及人员补位。</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DB46">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9237">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C82A">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1677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5F08">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B0829">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84810">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CA50762">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医疗护理员排班要求：实行弹性排班、错峰上岗，根据病区患者流量动态调整在岗人员；午间（12:00-15:00）夜间（18:00-23:00）必须保证专人在岗值守，严格落实标本送检及患者送检工作，严禁出现标本延误、积压或丢失现象。</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C7C1">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D368">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6A95">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CF5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7576">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4A0B">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0869F">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A6770ED">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4.满足附件1《院内科室分布及基础配置护理员人数一览表》要求</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4CCD">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7D2A">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CE05">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FEDE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7936">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E4A53">
            <w:pPr>
              <w:jc w:val="center"/>
              <w:rPr>
                <w:rFonts w:hint="eastAsia" w:ascii="仿宋" w:hAnsi="仿宋" w:eastAsia="仿宋" w:cs="仿宋"/>
                <w:i w:val="0"/>
                <w:iCs w:val="0"/>
                <w:color w:val="auto"/>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2DA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服务类型及内容</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ADC5">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满足附件2《服务类型及服务内容需求表》要求</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E157">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A757">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3B62">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B5C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CFA9">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C8D76">
            <w:pPr>
              <w:jc w:val="center"/>
              <w:rPr>
                <w:rFonts w:hint="eastAsia" w:ascii="仿宋" w:hAnsi="仿宋" w:eastAsia="仿宋" w:cs="仿宋"/>
                <w:i w:val="0"/>
                <w:iCs w:val="0"/>
                <w:color w:val="auto"/>
                <w:sz w:val="24"/>
                <w:szCs w:val="24"/>
                <w:u w:val="none"/>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E854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服务管理要求</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8CB8">
            <w:pPr>
              <w:keepNext w:val="0"/>
              <w:keepLines w:val="0"/>
              <w:widowControl/>
              <w:suppressLineNumbers w:val="0"/>
              <w:jc w:val="both"/>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1.严格执行医院“六统一”管理：统一调配、统一服装、统一工作牌、统一培训、统一收费标准、统一管理。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CB30">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C825">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A9FA">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222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9806">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D3144">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15A6B">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C856C12">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服务机构须服从医院各项管理规定，不得出现干扰医院正常诊疗秩序、信访、投诉、诉讼等行为，否则医院有权单方解除合同。因服务机构服务问题引发患者/家属信访、投诉的，服务机构须在规定时间内妥善处理，若造成医院声誉损失的，医院有权要求服务机构承担</w:t>
            </w:r>
            <w:r>
              <w:rPr>
                <w:rStyle w:val="11"/>
                <w:rFonts w:hint="eastAsia" w:ascii="仿宋" w:hAnsi="仿宋" w:eastAsia="仿宋" w:cs="仿宋"/>
                <w:color w:val="auto"/>
                <w:sz w:val="24"/>
                <w:szCs w:val="24"/>
                <w:lang w:val="en-US" w:eastAsia="zh-CN" w:bidi="ar"/>
              </w:rPr>
              <w:t>相应责任。</w:t>
            </w:r>
            <w:r>
              <w:rPr>
                <w:rFonts w:hint="eastAsia" w:ascii="仿宋" w:hAnsi="仿宋" w:eastAsia="仿宋" w:cs="仿宋"/>
                <w:i w:val="0"/>
                <w:iCs w:val="0"/>
                <w:color w:val="auto"/>
                <w:kern w:val="0"/>
                <w:sz w:val="24"/>
                <w:szCs w:val="24"/>
                <w:u w:val="none"/>
                <w:lang w:val="en-US" w:eastAsia="zh-CN" w:bidi="ar"/>
              </w:rPr>
              <w:t>医院有权要求服务机构及时撤换不合格医疗护理员。</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5655">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98A1">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88E4">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3347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6188">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921B9">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03C89">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4067726">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3.服务机构</w:t>
            </w:r>
            <w:r>
              <w:rPr>
                <w:rStyle w:val="11"/>
                <w:rFonts w:hint="eastAsia" w:ascii="仿宋" w:hAnsi="仿宋" w:eastAsia="仿宋" w:cs="仿宋"/>
                <w:color w:val="auto"/>
                <w:sz w:val="24"/>
                <w:szCs w:val="24"/>
                <w:lang w:val="en-US" w:eastAsia="zh-CN" w:bidi="ar"/>
              </w:rPr>
              <w:t>须依法与医疗护理员签订劳动合同，购买商业意外保险及第三者责任保险，保障护理员合法权益。保险须在护理员上岗前购买完毕，保险期限覆盖护理员在岗全时段，若保险到期须及时续保并向医院报备保单复印件；同时为护理员购买五险，按国家劳动法相关规定落实各项劳动保障待遇。</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C66E">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2EC5">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BE4B">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8E0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4983">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15</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AAA12">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9DF20">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7EDD334">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4.服务机构每季度至少组织一次培训，内容包括基础护理、安全防护、应急处置</w:t>
            </w:r>
            <w:r>
              <w:rPr>
                <w:rStyle w:val="11"/>
                <w:rFonts w:hint="eastAsia" w:ascii="仿宋" w:hAnsi="仿宋" w:eastAsia="仿宋" w:cs="仿宋"/>
                <w:color w:val="auto"/>
                <w:sz w:val="24"/>
                <w:szCs w:val="24"/>
                <w:lang w:val="en-US" w:eastAsia="zh-CN" w:bidi="ar"/>
              </w:rPr>
              <w:t>、医院感染预防与控制、</w:t>
            </w:r>
            <w:r>
              <w:rPr>
                <w:rFonts w:hint="eastAsia" w:ascii="仿宋" w:hAnsi="仿宋" w:eastAsia="仿宋" w:cs="仿宋"/>
                <w:i w:val="0"/>
                <w:iCs w:val="0"/>
                <w:color w:val="auto"/>
                <w:kern w:val="0"/>
                <w:sz w:val="24"/>
                <w:szCs w:val="24"/>
                <w:u w:val="none"/>
                <w:lang w:val="en-US" w:eastAsia="zh-CN" w:bidi="ar"/>
              </w:rPr>
              <w:t>消防知识等，所有培训须做好签到、课件、考核记录等资料，留存备查，医院有权随机抽查培训开展情况。</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4FF">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103F">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820B">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2104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711F">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16</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81D7A">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4706C">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A45D0D3">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5.服务所需耗材由服务机构自行承担，不占用医院物资，耗材须符合国家卫生行业标准，包括但不限于一次性手套、口罩、床品、清洁消毒用品、陪护床配套耗材等。</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A085">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FC3C">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15E0">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26425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F9352">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17</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00C8E">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350A">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D62D2E1">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6.医院每季度对服务质量进行考核，并按考核结果纳入年度考核。具体考核执行标准参照附件《大化瑶族自治县人民医院医疗护理员免陪照护服务项目考核细则》；</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45B7">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28B2">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5B1E">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E86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3A5A">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18</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314F5">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7676F">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8D1E474">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7.标本送检专项要求：基础工作时段+午间/夜间高峰时段均安排专人，标本随收随送、规范运送，做好送检记录；运送工具每日清洁消毒。</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5275">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1721">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AF2B">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2535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B293">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19</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9B642">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840CB">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48F97BF">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8.其他服务：配合医院落实医院感染预防与控制、应急处置、临时性保障等工作，服从科室统一调度。</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49E9">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9A75">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3CC8">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434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FF61">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C1AE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医疗护理员任职及工作要求</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CC57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任职基本条件</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A1BAEC9">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1.遵纪守法，无犯罪记录，拥护医院规章制度，服从科室管理，接受弹性排班及午间、夜间轮班工作安排，无吸毒、酗酒等不良嗜好，无失信被执行记录；</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4AC7">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3B3A">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C696">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2314A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5526">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21</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C4EEE">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53B0">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9246B8C">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2.持有身份证、健康证、医疗护理员相关培训结业证书，熟练掌握标本送检规范及分级照护服务标准者优先。身份证、健康证、资质证书须真实有效，不得伪造、借用他人证件。</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C6AB">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50F4">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F610">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3A4F1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3F1D">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22</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E12A">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73AE5">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5A2483C">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3.医院与服务机构联合岗前培训考核（含标本送检、分级照护内容）合格后方可上岗。</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F8AB">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E169">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78B5">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ADE3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D85E">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23</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A2BFF">
            <w:pPr>
              <w:jc w:val="center"/>
              <w:rPr>
                <w:rFonts w:hint="eastAsia" w:ascii="仿宋" w:hAnsi="仿宋" w:eastAsia="仿宋" w:cs="仿宋"/>
                <w:i w:val="0"/>
                <w:iCs w:val="0"/>
                <w:color w:val="auto"/>
                <w:sz w:val="24"/>
                <w:szCs w:val="24"/>
                <w:u w:val="none"/>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726F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核心工作职责(在护士长管理及护士指导下开展工作)</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760B16F">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1.按基础/一级/二级照护标准，主动为患者提供清洁、饮食、卧位、排泄、安全等生活照护服务，保障照护服务的连续性。</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C465">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8675">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11F6">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0940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5444">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24</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86E92">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C50D1">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BA07C6F">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2.规范完成标本运送及血袋送检工作，午间及夜间标本随收随送，做好个人及标本防护，完善送检记录；</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DE1C">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DC7F">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4CC1">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F7D9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2178">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25</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85E19">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6D85A">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432C2344">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协助完成科室陪检、被服管理、病区通风、探视秩序维护等辅助工作；科室护理员负责做好患者及家属的陪护管理规定、照护流程的沟通解释工作，及时化解服务疑问，维护病区良好的诊疗秩序；做好患者安全防护，及时将检查结果反馈给责任护士。</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4CE6">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D8AB">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00E7">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0864C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781B">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0FA4B">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7A74B">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9C38809">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4.严格执行医院感染预防与控制要求，做好手卫生、个人防护；做好自身及个人专用物品的清洁与消毒，配合科室及医院院感部门、护理部开展相关监测与督查工作。</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9A58">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DF98">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E539">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2155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C50D">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27</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1CA5B">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1DC79">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6DD3DBCE">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发现患者病情/身体异常、管路/约束装置问题，第一时间反馈护士长或责任护士，不得擅自处理。发生职业暴露时，须立即按职业暴露处理流程进行规范处理，第一时间报告所在科室医务人员、服务机构管理人员，并由所在科室上报医院院感部门，配合后续的体检、诊疗及随访工作。</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4CAD">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03E8">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B522">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14A75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4644">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28</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50F9C">
            <w:pPr>
              <w:jc w:val="center"/>
              <w:rPr>
                <w:rFonts w:hint="eastAsia" w:ascii="仿宋" w:hAnsi="仿宋" w:eastAsia="仿宋" w:cs="仿宋"/>
                <w:i w:val="0"/>
                <w:iCs w:val="0"/>
                <w:color w:val="auto"/>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99637E6">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工作禁令</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92F685F">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疗护理员不得从事任何医疗诊疗操作，严禁以下行为：处理伤口、测量血压、血糖、调节输液速度/更换输液、鼻饲、吸痰；擅自为危重/骨科患者更换床单/变换体位、擅自使用热水袋/冰袋/约束具；拔针、床旁心电图/心电监护操作；擅自解释医疗护理相关内容等。</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FCF8">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62BF">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B6E9">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37C8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37FB">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29</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2B8B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日常管理规范与考核</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1A24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医疗护理员日常管理</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C473E63">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仪表规范：着装整洁统一，佩戴胸卡，工作期间不佩戴饰品、不染彩色指甲/头发，工作期间头发须梳理整齐，男性护理员不留长发、胡须，女性护理员不化浓妆；使用文明用语，禁止使用生硬、粗鲁语言与患者/家属交流。</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F298">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EEA9">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FA18">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189E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760B">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FFF14">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896D6">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C9F87A9">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2.劳动纪律：严格按排班表上下班，不迟到、不早退、不擅离岗位、不串岗聊天；午间及夜间标本送检人员保持随时在岗，接到送检通知5分钟内响应，用餐实行轮换制，确保送检工作不间断。</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8434">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9099">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86D6">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6A4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C5D0">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31</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D807D">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D6483">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33902D26">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3.职业操守：不得向患者/家属推销商品、索要红包/财物，不得在外单位兼职，不得泄露患者隐私。</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7EA4">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AA94">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3C55">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C29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F0C5">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32</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F6FF3">
            <w:pPr>
              <w:jc w:val="center"/>
              <w:rPr>
                <w:rFonts w:hint="eastAsia" w:ascii="仿宋" w:hAnsi="仿宋" w:eastAsia="仿宋" w:cs="仿宋"/>
                <w:i w:val="0"/>
                <w:iCs w:val="0"/>
                <w:color w:val="auto"/>
                <w:sz w:val="24"/>
                <w:szCs w:val="24"/>
                <w:u w:val="none"/>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3D47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服务机构管理人员工作职责</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559AB97">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1.每日对各科室护理员到岗、工作状态、服务质量进行查岗并做好记录，重点检查午间及夜间标本送检人员到岗及工作落实情况；</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D090">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B0EB">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7126">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E4B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544F">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33</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AB354">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EED7F">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5BA295D2">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2.每月与科室护士长、医院主管部门沟通，收集服务反馈，汇报排班及服务开展情况；</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9823">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068D">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DBFC">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D83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1F79">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34</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987EE">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60BA0">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0DCC871B">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3.投诉处理：第一时间到场处理服务投诉，投诉须及时处理并在24小时内反馈，处理完毕后提交书面分析报告；</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AD00">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422A">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7D21">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78FB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DFBB">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35</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11768">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001A1">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96D5BA6">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4.报表报送：每月填报护理员上岗情况、健康状况，以及午间及夜间标本送检人员值班及工作完成情况；</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B8AB">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1C4A">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763C">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776B7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1199">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36</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34810">
            <w:pPr>
              <w:jc w:val="center"/>
              <w:rPr>
                <w:rFonts w:hint="eastAsia" w:ascii="仿宋" w:hAnsi="仿宋" w:eastAsia="仿宋" w:cs="仿宋"/>
                <w:i w:val="0"/>
                <w:iCs w:val="0"/>
                <w:color w:val="auto"/>
                <w:sz w:val="24"/>
                <w:szCs w:val="24"/>
                <w:u w:val="none"/>
              </w:rPr>
            </w:pP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FFEE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陪护服务收费管理</w:t>
            </w: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2E4F8084">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1.服务机构报价不得高于本项目服务收费标准，需提供详细的成本核算和价格构成说明，否则按无效响应处理；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765F">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6700">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E84B">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5BB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B736">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37</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667A0">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FB6B2">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7BB6A3CA">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2.患者/家属自愿提出服务需求，由服务机构管理人员为患者／家属安排陪护人员，签署派遣陪护人员协议书，并收取陪护服务费。</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D6E6">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5B89">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E8BF">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334E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4508">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38</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82408">
            <w:pPr>
              <w:jc w:val="center"/>
              <w:rPr>
                <w:rFonts w:hint="eastAsia" w:ascii="仿宋" w:hAnsi="仿宋" w:eastAsia="仿宋" w:cs="仿宋"/>
                <w:i w:val="0"/>
                <w:iCs w:val="0"/>
                <w:color w:val="auto"/>
                <w:sz w:val="24"/>
                <w:szCs w:val="24"/>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41F6A">
            <w:pPr>
              <w:jc w:val="center"/>
              <w:rPr>
                <w:rFonts w:hint="eastAsia" w:ascii="仿宋" w:hAnsi="仿宋" w:eastAsia="仿宋" w:cs="仿宋"/>
                <w:i w:val="0"/>
                <w:iCs w:val="0"/>
                <w:color w:val="auto"/>
                <w:sz w:val="24"/>
                <w:szCs w:val="24"/>
                <w:u w:val="none"/>
              </w:rPr>
            </w:pPr>
          </w:p>
        </w:tc>
        <w:tc>
          <w:tcPr>
            <w:tcW w:w="6895" w:type="dxa"/>
            <w:tcBorders>
              <w:top w:val="single" w:color="000000" w:sz="4" w:space="0"/>
              <w:left w:val="single" w:color="000000" w:sz="4" w:space="0"/>
              <w:bottom w:val="single" w:color="000000" w:sz="4" w:space="0"/>
              <w:right w:val="single" w:color="000000" w:sz="4" w:space="0"/>
            </w:tcBorders>
            <w:shd w:val="clear" w:color="auto" w:fill="auto"/>
            <w:vAlign w:val="top"/>
          </w:tcPr>
          <w:p w14:paraId="1A2F4579">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3.一对二陪护仅限同病区患者，不能跨病区看护患者；承担“一对一”或“一对二”的照护人员须具有3个月以上服务经验、无投诉记录，熟练掌握分级照护，服装佩戴醒目标识。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8842">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BFCD">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6255">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530A1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B52A">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39</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9BB2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感染预防与控制要求</w:t>
            </w: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AC130F6">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1.服务机构须指定1名医院感染管理人员，向医院报备，全面负责医疗护理员的院感知识岗前培训、日常工作督查及院感制度落实的监督与反馈。</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F953">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9759">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8091">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32BBE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B9DE">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40</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83C24">
            <w:pPr>
              <w:jc w:val="center"/>
              <w:rPr>
                <w:rFonts w:hint="eastAsia" w:ascii="仿宋" w:hAnsi="仿宋" w:eastAsia="仿宋" w:cs="仿宋"/>
                <w:i w:val="0"/>
                <w:iCs w:val="0"/>
                <w:color w:val="auto"/>
                <w:sz w:val="24"/>
                <w:szCs w:val="24"/>
                <w:u w:val="none"/>
              </w:rPr>
            </w:pP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DBCC36C">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医疗护理员工作区域相对固定，不得串病房；标本送检人员按医院指定路线及时间窗运送标本，按操作要求规范佩戴口罩、手套，必须遵守医院感染防控规定，做好个人及标本防护，个人防护用品按院感要求及时更换；</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8E50">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6A02">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B0C8">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1B5E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BDBA">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41</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7F223">
            <w:pPr>
              <w:jc w:val="center"/>
              <w:rPr>
                <w:rFonts w:hint="eastAsia" w:ascii="仿宋" w:hAnsi="仿宋" w:eastAsia="仿宋" w:cs="仿宋"/>
                <w:i w:val="0"/>
                <w:iCs w:val="0"/>
                <w:color w:val="auto"/>
                <w:sz w:val="24"/>
                <w:szCs w:val="24"/>
                <w:u w:val="none"/>
              </w:rPr>
            </w:pP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0CFA42A">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3.消毒管理：服务机构按医院要求，对病人的生活用品如便器、脸盆、口杯等实行专人、专物、专用，严禁跨病人、跨病区混用；标本运送工具每日清洁消毒，做好记录，若运送过程中出现污染，随时消毒；</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A985">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6F35">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6D44">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4E721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57C4">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42</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1C87B">
            <w:pPr>
              <w:jc w:val="center"/>
              <w:rPr>
                <w:rFonts w:hint="eastAsia" w:ascii="仿宋" w:hAnsi="仿宋" w:eastAsia="仿宋" w:cs="仿宋"/>
                <w:i w:val="0"/>
                <w:iCs w:val="0"/>
                <w:color w:val="auto"/>
                <w:sz w:val="24"/>
                <w:szCs w:val="24"/>
                <w:u w:val="none"/>
              </w:rPr>
            </w:pP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05B1CE3">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感控培训：凡上岗护理员均需完成医院感染管理知识专项培训及考核后方可上岗；服务机构每半年组织一次全员医院感染管理知识培训及考核，增加标本送检医院感染预防与控制专项考核内容，考核材料需送至护理部并留档备查。</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0CE4">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4342">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A676">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6649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6F29">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43</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AD58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违约责任</w:t>
            </w: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84ACBD2">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因服务机构人员操作不规范、脱岗等原因，造成患者投诉、纠纷、意外事故或医疗相关问题的，由服务机构全权处理并承担全部法律、经济责任；午间及夜间标本送检不及时/不规范引发的一切问题，全部由服务机构承担。</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96B1">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1ACA">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C0D4">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014A0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70D8">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44</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5C437">
            <w:pPr>
              <w:jc w:val="center"/>
              <w:rPr>
                <w:rFonts w:hint="eastAsia" w:ascii="仿宋" w:hAnsi="仿宋" w:eastAsia="仿宋" w:cs="仿宋"/>
                <w:i w:val="0"/>
                <w:iCs w:val="0"/>
                <w:color w:val="auto"/>
                <w:sz w:val="24"/>
                <w:szCs w:val="24"/>
                <w:u w:val="none"/>
              </w:rPr>
            </w:pP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46CC8ED">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2.医疗护理员违反工作禁令、私自收费、索要红包/财物的，服务机构须立即辞退该人员，医院同时按考核制度进行扣分。</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2442">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2D63">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EA5E">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r w14:paraId="3631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7CAE">
            <w:pPr>
              <w:keepNext w:val="0"/>
              <w:keepLines w:val="0"/>
              <w:widowControl/>
              <w:suppressLineNumbers w:val="0"/>
              <w:jc w:val="righ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45</w:t>
            </w: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362D7">
            <w:pPr>
              <w:jc w:val="center"/>
              <w:rPr>
                <w:rFonts w:hint="eastAsia" w:ascii="仿宋" w:hAnsi="仿宋" w:eastAsia="仿宋" w:cs="仿宋"/>
                <w:i w:val="0"/>
                <w:iCs w:val="0"/>
                <w:color w:val="auto"/>
                <w:sz w:val="24"/>
                <w:szCs w:val="24"/>
                <w:u w:val="none"/>
              </w:rPr>
            </w:pPr>
          </w:p>
        </w:tc>
        <w:tc>
          <w:tcPr>
            <w:tcW w:w="770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D2CD198">
            <w:pPr>
              <w:keepNext w:val="0"/>
              <w:keepLines w:val="0"/>
              <w:widowControl/>
              <w:suppressLineNumbers w:val="0"/>
              <w:jc w:val="left"/>
              <w:textAlignment w:val="top"/>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3.服务机构未按要求开展培训考核、未落实医院感染预防与控制措施、未执行排班要求的，医院视情节轻重予以扣分；情节严重、拒不整改的，医院有权单方解除合同。</w:t>
            </w:r>
          </w:p>
        </w:tc>
        <w:tc>
          <w:tcPr>
            <w:tcW w:w="5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5BFE">
            <w:pPr>
              <w:rPr>
                <w:rFonts w:hint="eastAsia" w:ascii="仿宋" w:hAnsi="仿宋" w:eastAsia="仿宋" w:cs="仿宋"/>
                <w:i w:val="0"/>
                <w:iCs w:val="0"/>
                <w:color w:val="auto"/>
                <w:sz w:val="24"/>
                <w:szCs w:val="24"/>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3A23">
            <w:pPr>
              <w:rPr>
                <w:rFonts w:hint="eastAsia" w:ascii="仿宋" w:hAnsi="仿宋" w:eastAsia="仿宋" w:cs="仿宋"/>
                <w:i w:val="0"/>
                <w:iCs w:val="0"/>
                <w:color w:val="auto"/>
                <w:sz w:val="24"/>
                <w:szCs w:val="24"/>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4132">
            <w:pP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single"/>
                <w:lang w:val="en-US" w:eastAsia="zh-CN" w:bidi="ar"/>
              </w:rPr>
              <w:t xml:space="preserve">  </w:t>
            </w:r>
            <w:r>
              <w:rPr>
                <w:rStyle w:val="10"/>
                <w:rFonts w:hint="eastAsia" w:ascii="仿宋" w:hAnsi="仿宋" w:eastAsia="仿宋" w:cs="仿宋"/>
                <w:color w:val="auto"/>
                <w:sz w:val="24"/>
                <w:szCs w:val="24"/>
                <w:u w:val="none"/>
                <w:lang w:val="en-US" w:eastAsia="zh-CN" w:bidi="ar"/>
              </w:rPr>
              <w:t>页</w:t>
            </w:r>
          </w:p>
        </w:tc>
      </w:tr>
    </w:tbl>
    <w:p w14:paraId="79D5B8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p>
    <w:p w14:paraId="30001091">
      <w:pPr>
        <w:keepNext w:val="0"/>
        <w:keepLines w:val="0"/>
        <w:pageBreakBefore w:val="0"/>
        <w:widowControl w:val="0"/>
        <w:kinsoku/>
        <w:wordWrap/>
        <w:overflowPunct/>
        <w:topLinePunct w:val="0"/>
        <w:autoSpaceDE/>
        <w:autoSpaceDN/>
        <w:bidi w:val="0"/>
        <w:adjustRightInd/>
        <w:snapToGrid/>
        <w:spacing w:line="560" w:lineRule="exact"/>
        <w:ind w:firstLine="630" w:firstLineChars="300"/>
        <w:jc w:val="left"/>
        <w:textAlignment w:val="auto"/>
      </w:pP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AFEA78-DC56-4802-938D-96597E9060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1BA2B3A-B05C-4BE1-A772-B6717FBC4D15}"/>
  </w:font>
  <w:font w:name="仿宋">
    <w:panose1 w:val="02010609060101010101"/>
    <w:charset w:val="86"/>
    <w:family w:val="auto"/>
    <w:pitch w:val="default"/>
    <w:sig w:usb0="800002BF" w:usb1="38CF7CFA" w:usb2="00000016" w:usb3="00000000" w:csb0="00040001" w:csb1="00000000"/>
    <w:embedRegular r:id="rId3" w:fontKey="{46E8AB5C-CFA8-43DF-BD83-A5F2F3B4FE28}"/>
  </w:font>
  <w:font w:name="方正小标宋简体">
    <w:panose1 w:val="02000000000000000000"/>
    <w:charset w:val="86"/>
    <w:family w:val="auto"/>
    <w:pitch w:val="default"/>
    <w:sig w:usb0="00000001" w:usb1="080E0000" w:usb2="00000000" w:usb3="00000000" w:csb0="00040000" w:csb1="00000000"/>
    <w:embedRegular r:id="rId4" w:fontKey="{773508EF-2599-4CFC-BFE5-B141D06516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29D4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166A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4166A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37482"/>
    <w:rsid w:val="016814B1"/>
    <w:rsid w:val="0B971310"/>
    <w:rsid w:val="204A5285"/>
    <w:rsid w:val="23D528B6"/>
    <w:rsid w:val="26C24F24"/>
    <w:rsid w:val="3ADC0A74"/>
    <w:rsid w:val="3B446C5A"/>
    <w:rsid w:val="40BF2B01"/>
    <w:rsid w:val="41E06866"/>
    <w:rsid w:val="53A5521A"/>
    <w:rsid w:val="5AF80325"/>
    <w:rsid w:val="60637482"/>
    <w:rsid w:val="64393E88"/>
    <w:rsid w:val="665730EB"/>
    <w:rsid w:val="6E1938AF"/>
    <w:rsid w:val="754228E6"/>
    <w:rsid w:val="76A20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Body Text First Indent"/>
    <w:basedOn w:val="1"/>
    <w:qFormat/>
    <w:uiPriority w:val="0"/>
    <w:pPr>
      <w:spacing w:line="360" w:lineRule="auto"/>
      <w:ind w:firstLine="560" w:firstLineChars="200"/>
    </w:p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41"/>
    <w:basedOn w:val="7"/>
    <w:qFormat/>
    <w:uiPriority w:val="0"/>
    <w:rPr>
      <w:rFonts w:hint="eastAsia" w:ascii="宋体" w:hAnsi="宋体" w:eastAsia="宋体" w:cs="宋体"/>
      <w:color w:val="000000"/>
      <w:sz w:val="20"/>
      <w:szCs w:val="20"/>
      <w:u w:val="single"/>
    </w:rPr>
  </w:style>
  <w:style w:type="character" w:customStyle="1" w:styleId="9">
    <w:name w:val="font31"/>
    <w:basedOn w:val="7"/>
    <w:qFormat/>
    <w:uiPriority w:val="0"/>
    <w:rPr>
      <w:rFonts w:hint="eastAsia" w:ascii="宋体" w:hAnsi="宋体" w:eastAsia="宋体" w:cs="宋体"/>
      <w:color w:val="000000"/>
      <w:sz w:val="20"/>
      <w:szCs w:val="20"/>
      <w:u w:val="none"/>
    </w:rPr>
  </w:style>
  <w:style w:type="character" w:customStyle="1" w:styleId="10">
    <w:name w:val="font01"/>
    <w:basedOn w:val="7"/>
    <w:qFormat/>
    <w:uiPriority w:val="0"/>
    <w:rPr>
      <w:rFonts w:hint="eastAsia" w:ascii="宋体" w:hAnsi="宋体" w:eastAsia="宋体" w:cs="宋体"/>
      <w:color w:val="000000"/>
      <w:sz w:val="22"/>
      <w:szCs w:val="22"/>
      <w:u w:val="none"/>
    </w:rPr>
  </w:style>
  <w:style w:type="character" w:customStyle="1" w:styleId="11">
    <w:name w:val="font61"/>
    <w:basedOn w:val="7"/>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3905</Words>
  <Characters>4046</Characters>
  <Lines>0</Lines>
  <Paragraphs>0</Paragraphs>
  <TotalTime>0</TotalTime>
  <ScaleCrop>false</ScaleCrop>
  <LinksUpToDate>false</LinksUpToDate>
  <CharactersWithSpaces>4137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2026-08-03T09:27:00Z</dcterms:created>
  <dc:creator>素素</dc:creator>
  <cp:lastModifiedBy>素素</cp:lastModifiedBy>
  <dcterms:modified xsi:type="dcterms:W3CDTF">2026-08-03T09:53:07Z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61D8FE72829543358B0ED496F0C15AEA_13</vt:lpwstr>
  </property>
  <property fmtid="{D5CDD505-2E9C-101B-9397-08002B2CF9AE}" pid="4" name="KSOTemplateDocerSaveRecord">
    <vt:lpwstr>eyJoZGlkIjoiOGJmOWEyZGJiN2Y4ZDU3YjUxODRiNGYzNDAzNjZlODMiLCJ1c2VySWQiOiIyMjg4ODExNzgifQ==</vt:lpwstr>
  </property>
</Properties>
</file>