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631A1">
      <w:pPr>
        <w:rPr>
          <w:rFonts w:hint="default" w:ascii="Times New Roman" w:hAnsi="Times New Roman" w:cs="Times New Roman"/>
          <w:b/>
          <w:bCs/>
          <w:color w:val="auto"/>
          <w:sz w:val="28"/>
          <w:szCs w:val="28"/>
          <w:lang w:val="en-US" w:eastAsia="zh-CN"/>
        </w:rPr>
      </w:pPr>
      <w:bookmarkStart w:id="0" w:name="_GoBack"/>
      <w:bookmarkEnd w:id="0"/>
      <w:r>
        <w:rPr>
          <w:rFonts w:hint="default" w:ascii="Times New Roman" w:hAnsi="Times New Roman" w:cs="Times New Roman"/>
          <w:b/>
          <w:bCs/>
          <w:color w:val="auto"/>
          <w:sz w:val="28"/>
          <w:szCs w:val="28"/>
          <w:lang w:eastAsia="zh-CN"/>
        </w:rPr>
        <w:t>附件</w:t>
      </w:r>
      <w:r>
        <w:rPr>
          <w:rFonts w:hint="eastAsia" w:ascii="Times New Roman" w:hAnsi="Times New Roman" w:cs="Times New Roman"/>
          <w:b/>
          <w:bCs/>
          <w:color w:val="auto"/>
          <w:sz w:val="28"/>
          <w:szCs w:val="28"/>
          <w:lang w:val="en-US" w:eastAsia="zh-CN"/>
        </w:rPr>
        <w:t>2</w:t>
      </w:r>
    </w:p>
    <w:p w14:paraId="29A12459">
      <w:pPr>
        <w:jc w:val="center"/>
        <w:outlineLvl w:val="0"/>
        <w:rPr>
          <w:rFonts w:hint="default" w:ascii="Times New Roman" w:hAnsi="Times New Roman" w:cs="Times New Roman"/>
          <w:b/>
          <w:bCs/>
          <w:sz w:val="44"/>
          <w:szCs w:val="44"/>
          <w:lang w:val="en-US" w:eastAsia="zh-CN"/>
        </w:rPr>
      </w:pPr>
    </w:p>
    <w:p w14:paraId="396EE8B6">
      <w:pPr>
        <w:jc w:val="center"/>
        <w:outlineLvl w:val="0"/>
        <w:rPr>
          <w:rFonts w:hint="default" w:ascii="Times New Roman" w:hAnsi="Times New Roman" w:cs="Times New Roman" w:eastAsiaTheme="minorEastAsia"/>
          <w:b/>
          <w:bCs/>
          <w:sz w:val="44"/>
          <w:szCs w:val="44"/>
          <w:lang w:eastAsia="zh-CN"/>
        </w:rPr>
      </w:pPr>
      <w:r>
        <w:rPr>
          <w:rFonts w:hint="default" w:ascii="Times New Roman" w:hAnsi="Times New Roman" w:cs="Times New Roman"/>
          <w:b/>
          <w:bCs/>
          <w:sz w:val="44"/>
          <w:szCs w:val="44"/>
          <w:lang w:val="en-US" w:eastAsia="zh-CN"/>
        </w:rPr>
        <w:t xml:space="preserve"> </w:t>
      </w:r>
      <w:r>
        <w:rPr>
          <w:rFonts w:hint="eastAsia" w:ascii="Times New Roman" w:hAnsi="Times New Roman" w:cs="Times New Roman"/>
          <w:b/>
          <w:bCs/>
          <w:sz w:val="44"/>
          <w:szCs w:val="44"/>
          <w:lang w:val="en-US" w:eastAsia="zh-CN"/>
        </w:rPr>
        <w:t>遴</w:t>
      </w:r>
      <w:r>
        <w:rPr>
          <w:rFonts w:hint="default" w:ascii="Times New Roman" w:hAnsi="Times New Roman" w:cs="Times New Roman"/>
          <w:b/>
          <w:bCs/>
          <w:sz w:val="44"/>
          <w:szCs w:val="44"/>
          <w:lang w:eastAsia="zh-CN"/>
        </w:rPr>
        <w:t>选</w:t>
      </w:r>
      <w:r>
        <w:rPr>
          <w:rFonts w:hint="default" w:ascii="Times New Roman" w:hAnsi="Times New Roman" w:cs="Times New Roman"/>
          <w:b/>
          <w:bCs/>
          <w:sz w:val="44"/>
          <w:szCs w:val="44"/>
        </w:rPr>
        <w:t>须知</w:t>
      </w:r>
    </w:p>
    <w:p w14:paraId="67EB68D7">
      <w:pPr>
        <w:rPr>
          <w:rFonts w:hint="default" w:ascii="Times New Roman" w:hAnsi="Times New Roman" w:cs="Times New Roman"/>
        </w:rPr>
      </w:pPr>
    </w:p>
    <w:p w14:paraId="2BBD21BB">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default" w:ascii="Times New Roman" w:hAnsi="Times New Roman" w:cs="Times New Roman"/>
          <w:b/>
          <w:bCs/>
          <w:sz w:val="24"/>
          <w:szCs w:val="24"/>
          <w:lang w:eastAsia="zh-CN"/>
        </w:rPr>
      </w:pPr>
      <w:r>
        <w:rPr>
          <w:rFonts w:hint="default" w:ascii="Times New Roman" w:hAnsi="Times New Roman" w:cs="Times New Roman"/>
          <w:b/>
          <w:bCs/>
          <w:sz w:val="24"/>
          <w:szCs w:val="24"/>
          <w:lang w:eastAsia="zh-CN"/>
        </w:rPr>
        <w:t>响应供应商资格条件</w:t>
      </w:r>
    </w:p>
    <w:p w14:paraId="72B95EBC">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00" w:firstLineChars="200"/>
        <w:jc w:val="both"/>
        <w:textAlignment w:val="auto"/>
        <w:rPr>
          <w:rFonts w:hint="default" w:ascii="Times New Roman" w:hAnsi="Times New Roman" w:cs="Times New Roman"/>
          <w:sz w:val="25"/>
        </w:rPr>
      </w:pPr>
      <w:r>
        <w:rPr>
          <w:rFonts w:hint="default" w:ascii="Times New Roman" w:hAnsi="Times New Roman" w:eastAsia="Calibri" w:cs="Times New Roman"/>
          <w:color w:val="000000"/>
          <w:sz w:val="25"/>
        </w:rPr>
        <w:t>1</w:t>
      </w:r>
      <w:r>
        <w:rPr>
          <w:rFonts w:hint="eastAsia" w:ascii="Times New Roman" w:hAnsi="Times New Roman" w:eastAsia="宋体" w:cs="Times New Roman"/>
          <w:color w:val="000000"/>
          <w:sz w:val="25"/>
          <w:lang w:val="en-US" w:eastAsia="zh-CN"/>
        </w:rPr>
        <w:t>.</w:t>
      </w:r>
      <w:r>
        <w:rPr>
          <w:rFonts w:hint="default" w:ascii="Times New Roman" w:hAnsi="Times New Roman" w:eastAsia="宋体" w:cs="Times New Roman"/>
          <w:color w:val="000000"/>
          <w:sz w:val="25"/>
        </w:rPr>
        <w:t>国内注册（指按国家工商管理有关规定要求注册的）生产或经营范围达到本项目采购需求，在人员、设备、资金等方面具备承担本项目能力的独立法人企业（提供原件或者复印件加盖公章）。</w:t>
      </w:r>
    </w:p>
    <w:p w14:paraId="5BA7995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00" w:firstLineChars="200"/>
        <w:jc w:val="both"/>
        <w:textAlignment w:val="auto"/>
        <w:rPr>
          <w:rFonts w:hint="default" w:ascii="Times New Roman" w:hAnsi="Times New Roman" w:cs="Times New Roman"/>
          <w:sz w:val="25"/>
        </w:rPr>
      </w:pPr>
      <w:r>
        <w:rPr>
          <w:rFonts w:hint="default" w:ascii="Times New Roman" w:hAnsi="Times New Roman" w:eastAsia="Calibri" w:cs="Times New Roman"/>
          <w:color w:val="000000"/>
          <w:sz w:val="25"/>
        </w:rPr>
        <w:t>2</w:t>
      </w:r>
      <w:r>
        <w:rPr>
          <w:rFonts w:hint="eastAsia" w:ascii="Times New Roman" w:hAnsi="Times New Roman" w:eastAsia="宋体" w:cs="Times New Roman"/>
          <w:color w:val="000000"/>
          <w:sz w:val="25"/>
          <w:lang w:val="en-US" w:eastAsia="zh-CN"/>
        </w:rPr>
        <w:t>.</w:t>
      </w:r>
      <w:r>
        <w:rPr>
          <w:rFonts w:hint="default" w:ascii="Times New Roman" w:hAnsi="Times New Roman" w:eastAsia="宋体" w:cs="Times New Roman"/>
          <w:color w:val="000000"/>
          <w:sz w:val="25"/>
        </w:rPr>
        <w:t>在</w:t>
      </w:r>
      <w:r>
        <w:rPr>
          <w:rFonts w:hint="default" w:ascii="Times New Roman" w:hAnsi="Times New Roman" w:eastAsia="Calibri" w:cs="Times New Roman"/>
          <w:color w:val="000000"/>
          <w:sz w:val="25"/>
        </w:rPr>
        <w:t>“</w:t>
      </w:r>
      <w:r>
        <w:rPr>
          <w:rFonts w:hint="default" w:ascii="Times New Roman" w:hAnsi="Times New Roman" w:eastAsia="宋体" w:cs="Times New Roman"/>
          <w:color w:val="000000"/>
          <w:sz w:val="25"/>
        </w:rPr>
        <w:t>信用中国</w:t>
      </w:r>
      <w:r>
        <w:rPr>
          <w:rFonts w:hint="default" w:ascii="Times New Roman" w:hAnsi="Times New Roman" w:eastAsia="Calibri" w:cs="Times New Roman"/>
          <w:color w:val="000000"/>
          <w:sz w:val="25"/>
        </w:rPr>
        <w:t>”</w:t>
      </w:r>
      <w:r>
        <w:rPr>
          <w:rFonts w:hint="default" w:ascii="Times New Roman" w:hAnsi="Times New Roman" w:eastAsia="宋体" w:cs="Times New Roman"/>
          <w:color w:val="000000"/>
          <w:sz w:val="25"/>
        </w:rPr>
        <w:t>网站</w:t>
      </w:r>
      <w:r>
        <w:rPr>
          <w:rFonts w:hint="default" w:ascii="Times New Roman" w:hAnsi="Times New Roman" w:eastAsia="Calibri" w:cs="Times New Roman"/>
          <w:color w:val="000000"/>
          <w:sz w:val="25"/>
        </w:rPr>
        <w:t>（www．creditchina．gov．cn）、</w:t>
      </w:r>
      <w:r>
        <w:rPr>
          <w:rFonts w:hint="default" w:ascii="Times New Roman" w:hAnsi="Times New Roman" w:eastAsia="宋体" w:cs="Times New Roman"/>
          <w:color w:val="000000"/>
          <w:sz w:val="25"/>
        </w:rPr>
        <w:t>中国政府采购网（</w:t>
      </w:r>
      <w:r>
        <w:rPr>
          <w:rFonts w:hint="default" w:ascii="Times New Roman" w:hAnsi="Times New Roman" w:eastAsia="Calibri" w:cs="Times New Roman"/>
          <w:color w:val="000000"/>
          <w:sz w:val="25"/>
        </w:rPr>
        <w:t>www</w:t>
      </w:r>
      <w:r>
        <w:rPr>
          <w:rFonts w:hint="default" w:ascii="Times New Roman" w:hAnsi="Times New Roman" w:eastAsia="宋体" w:cs="Times New Roman"/>
          <w:color w:val="000000"/>
          <w:sz w:val="25"/>
        </w:rPr>
        <w:t>.</w:t>
      </w:r>
      <w:r>
        <w:rPr>
          <w:rFonts w:hint="default" w:ascii="Times New Roman" w:hAnsi="Times New Roman" w:eastAsia="Calibri" w:cs="Times New Roman"/>
          <w:color w:val="000000"/>
          <w:sz w:val="25"/>
        </w:rPr>
        <w:t>ccgp</w:t>
      </w:r>
      <w:r>
        <w:rPr>
          <w:rFonts w:hint="default" w:ascii="Times New Roman" w:hAnsi="Times New Roman" w:eastAsia="宋体" w:cs="Times New Roman"/>
          <w:color w:val="000000"/>
          <w:sz w:val="25"/>
        </w:rPr>
        <w:t>.</w:t>
      </w:r>
      <w:r>
        <w:rPr>
          <w:rFonts w:hint="default" w:ascii="Times New Roman" w:hAnsi="Times New Roman" w:eastAsia="Calibri" w:cs="Times New Roman"/>
          <w:color w:val="000000"/>
          <w:sz w:val="25"/>
        </w:rPr>
        <w:t>gov</w:t>
      </w:r>
      <w:r>
        <w:rPr>
          <w:rFonts w:hint="default" w:ascii="Times New Roman" w:hAnsi="Times New Roman" w:eastAsia="宋体" w:cs="Times New Roman"/>
          <w:color w:val="000000"/>
          <w:sz w:val="25"/>
        </w:rPr>
        <w:t>.</w:t>
      </w:r>
      <w:r>
        <w:rPr>
          <w:rFonts w:hint="default" w:ascii="Times New Roman" w:hAnsi="Times New Roman" w:eastAsia="Calibri" w:cs="Times New Roman"/>
          <w:color w:val="000000"/>
          <w:sz w:val="25"/>
        </w:rPr>
        <w:t>cn</w:t>
      </w:r>
      <w:r>
        <w:rPr>
          <w:rFonts w:hint="default" w:ascii="Times New Roman" w:hAnsi="Times New Roman" w:eastAsia="宋体" w:cs="Times New Roman"/>
          <w:color w:val="000000"/>
          <w:sz w:val="25"/>
        </w:rPr>
        <w:t>）等渠道列入失信被执行人、重大税收违法案件当事人名单、政府采购严重违法失信行为记录名单及其他不符合《中华人民共和国政府采购法》第二十二条规定条件的供应商，不得参与本次</w:t>
      </w:r>
      <w:r>
        <w:rPr>
          <w:rFonts w:hint="default" w:ascii="Times New Roman" w:hAnsi="Times New Roman" w:eastAsia="宋体" w:cs="Times New Roman"/>
          <w:color w:val="000000"/>
          <w:sz w:val="25"/>
          <w:lang w:eastAsia="zh-CN"/>
        </w:rPr>
        <w:t>比选</w:t>
      </w:r>
      <w:r>
        <w:rPr>
          <w:rFonts w:hint="default" w:ascii="Times New Roman" w:hAnsi="Times New Roman" w:eastAsia="宋体" w:cs="Times New Roman"/>
          <w:color w:val="000000"/>
          <w:sz w:val="25"/>
        </w:rPr>
        <w:t>（提供截图打印件并加盖公章）。</w:t>
      </w:r>
    </w:p>
    <w:p w14:paraId="25EF6458">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00" w:firstLineChars="200"/>
        <w:jc w:val="both"/>
        <w:textAlignment w:val="auto"/>
        <w:rPr>
          <w:rFonts w:hint="default" w:ascii="Times New Roman" w:hAnsi="Times New Roman" w:cs="Times New Roman"/>
          <w:sz w:val="25"/>
        </w:rPr>
      </w:pPr>
      <w:r>
        <w:rPr>
          <w:rFonts w:hint="default" w:ascii="Times New Roman" w:hAnsi="Times New Roman" w:eastAsia="Calibri" w:cs="Times New Roman"/>
          <w:color w:val="000000"/>
          <w:sz w:val="25"/>
        </w:rPr>
        <w:t>3</w:t>
      </w:r>
      <w:r>
        <w:rPr>
          <w:rFonts w:hint="eastAsia" w:ascii="Times New Roman" w:hAnsi="Times New Roman" w:eastAsia="宋体" w:cs="Times New Roman"/>
          <w:color w:val="000000"/>
          <w:sz w:val="25"/>
          <w:lang w:val="en-US" w:eastAsia="zh-CN"/>
        </w:rPr>
        <w:t>.</w:t>
      </w:r>
      <w:r>
        <w:rPr>
          <w:rFonts w:hint="default" w:ascii="Times New Roman" w:hAnsi="Times New Roman" w:eastAsia="宋体" w:cs="Times New Roman"/>
          <w:color w:val="000000"/>
          <w:sz w:val="25"/>
        </w:rPr>
        <w:t>法定代表人身份证明书及有效的身份证复印件正反面（必须提交，加盖公章）。</w:t>
      </w:r>
    </w:p>
    <w:p w14:paraId="504BC21E">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00" w:firstLineChars="200"/>
        <w:jc w:val="both"/>
        <w:textAlignment w:val="auto"/>
        <w:rPr>
          <w:rFonts w:hint="default" w:ascii="Times New Roman" w:hAnsi="Times New Roman" w:cs="Times New Roman"/>
          <w:sz w:val="25"/>
        </w:rPr>
      </w:pPr>
      <w:r>
        <w:rPr>
          <w:rFonts w:hint="default" w:ascii="Times New Roman" w:hAnsi="Times New Roman" w:eastAsia="Calibri" w:cs="Times New Roman"/>
          <w:color w:val="000000"/>
          <w:sz w:val="25"/>
        </w:rPr>
        <w:t>4</w:t>
      </w:r>
      <w:r>
        <w:rPr>
          <w:rFonts w:hint="eastAsia" w:ascii="Times New Roman" w:hAnsi="Times New Roman" w:eastAsia="宋体" w:cs="Times New Roman"/>
          <w:color w:val="000000"/>
          <w:sz w:val="25"/>
          <w:lang w:val="en-US" w:eastAsia="zh-CN"/>
        </w:rPr>
        <w:t>.</w:t>
      </w:r>
      <w:r>
        <w:rPr>
          <w:rFonts w:hint="default" w:ascii="Times New Roman" w:hAnsi="Times New Roman" w:eastAsia="宋体" w:cs="Times New Roman"/>
          <w:color w:val="000000"/>
          <w:sz w:val="25"/>
        </w:rPr>
        <w:t>有效的法人授权委托书原件和有效委托代理人身份证正反面复印件（委托代理时必须提供，否则</w:t>
      </w:r>
      <w:r>
        <w:rPr>
          <w:rFonts w:hint="default" w:ascii="Times New Roman" w:hAnsi="Times New Roman" w:eastAsia="宋体" w:cs="Times New Roman"/>
          <w:color w:val="000000"/>
          <w:sz w:val="25"/>
          <w:lang w:eastAsia="zh-CN"/>
        </w:rPr>
        <w:t>比选</w:t>
      </w:r>
      <w:r>
        <w:rPr>
          <w:rFonts w:hint="default" w:ascii="Times New Roman" w:hAnsi="Times New Roman" w:eastAsia="宋体" w:cs="Times New Roman"/>
          <w:color w:val="000000"/>
          <w:sz w:val="25"/>
        </w:rPr>
        <w:t>无效）。</w:t>
      </w:r>
    </w:p>
    <w:p w14:paraId="69908B5B">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00" w:firstLineChars="200"/>
        <w:jc w:val="both"/>
        <w:textAlignment w:val="auto"/>
        <w:rPr>
          <w:rFonts w:hint="default" w:ascii="Times New Roman" w:hAnsi="Times New Roman" w:cs="Times New Roman"/>
          <w:sz w:val="25"/>
        </w:rPr>
      </w:pPr>
      <w:r>
        <w:rPr>
          <w:rFonts w:hint="default" w:ascii="Times New Roman" w:hAnsi="Times New Roman" w:eastAsia="Calibri" w:cs="Times New Roman"/>
          <w:color w:val="000000"/>
          <w:sz w:val="25"/>
        </w:rPr>
        <w:t>5</w:t>
      </w:r>
      <w:r>
        <w:rPr>
          <w:rFonts w:hint="eastAsia" w:ascii="Times New Roman" w:hAnsi="Times New Roman" w:eastAsia="宋体" w:cs="Times New Roman"/>
          <w:color w:val="000000"/>
          <w:sz w:val="25"/>
          <w:lang w:val="en-US" w:eastAsia="zh-CN"/>
        </w:rPr>
        <w:t>.</w:t>
      </w:r>
      <w:r>
        <w:rPr>
          <w:rFonts w:hint="default" w:ascii="Times New Roman" w:hAnsi="Times New Roman" w:eastAsia="宋体" w:cs="Times New Roman"/>
          <w:color w:val="000000"/>
          <w:sz w:val="25"/>
        </w:rPr>
        <w:t>参加本次采购活动前三年内在经营活动中没有重大违法记录的声明（格式自拟，必须提供，否则</w:t>
      </w:r>
      <w:r>
        <w:rPr>
          <w:rFonts w:hint="default" w:ascii="Times New Roman" w:hAnsi="Times New Roman" w:eastAsia="宋体" w:cs="Times New Roman"/>
          <w:color w:val="000000"/>
          <w:sz w:val="25"/>
          <w:lang w:eastAsia="zh-CN"/>
        </w:rPr>
        <w:t>比选</w:t>
      </w:r>
      <w:r>
        <w:rPr>
          <w:rFonts w:hint="default" w:ascii="Times New Roman" w:hAnsi="Times New Roman" w:eastAsia="宋体" w:cs="Times New Roman"/>
          <w:color w:val="000000"/>
          <w:sz w:val="25"/>
        </w:rPr>
        <w:t>无效）。</w:t>
      </w:r>
    </w:p>
    <w:p w14:paraId="7D91D54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500" w:firstLineChars="200"/>
        <w:textAlignment w:val="auto"/>
        <w:rPr>
          <w:rFonts w:hint="default" w:ascii="Times New Roman" w:hAnsi="Times New Roman" w:eastAsia="宋体" w:cs="Times New Roman"/>
          <w:color w:val="000000"/>
          <w:sz w:val="25"/>
        </w:rPr>
      </w:pPr>
      <w:r>
        <w:rPr>
          <w:rFonts w:hint="default" w:ascii="Times New Roman" w:hAnsi="Times New Roman" w:eastAsia="Calibri" w:cs="Times New Roman"/>
          <w:color w:val="000000"/>
          <w:sz w:val="25"/>
        </w:rPr>
        <w:t>6</w:t>
      </w:r>
      <w:r>
        <w:rPr>
          <w:rFonts w:hint="eastAsia" w:ascii="Times New Roman" w:hAnsi="Times New Roman" w:eastAsia="宋体" w:cs="Times New Roman"/>
          <w:color w:val="000000"/>
          <w:sz w:val="25"/>
          <w:lang w:val="en-US" w:eastAsia="zh-CN"/>
        </w:rPr>
        <w:t>.</w:t>
      </w:r>
      <w:r>
        <w:rPr>
          <w:rFonts w:hint="eastAsia" w:ascii="Times New Roman" w:hAnsi="Times New Roman" w:eastAsia="宋体" w:cs="Times New Roman"/>
          <w:color w:val="000000"/>
          <w:sz w:val="25"/>
          <w:lang w:eastAsia="zh-CN"/>
        </w:rPr>
        <w:t>遴</w:t>
      </w:r>
      <w:r>
        <w:rPr>
          <w:rFonts w:hint="default" w:ascii="Times New Roman" w:hAnsi="Times New Roman" w:eastAsia="宋体" w:cs="Times New Roman"/>
          <w:color w:val="000000"/>
          <w:sz w:val="25"/>
          <w:lang w:eastAsia="zh-CN"/>
        </w:rPr>
        <w:t>选</w:t>
      </w:r>
      <w:r>
        <w:rPr>
          <w:rFonts w:hint="default" w:ascii="Times New Roman" w:hAnsi="Times New Roman" w:eastAsia="宋体" w:cs="Times New Roman"/>
          <w:color w:val="000000"/>
          <w:sz w:val="25"/>
        </w:rPr>
        <w:t>供应商参加本次采购活动前</w:t>
      </w:r>
      <w:r>
        <w:rPr>
          <w:rFonts w:hint="default" w:ascii="Times New Roman" w:hAnsi="Times New Roman" w:eastAsia="Calibri" w:cs="Times New Roman"/>
          <w:color w:val="000000"/>
          <w:sz w:val="25"/>
        </w:rPr>
        <w:t>3</w:t>
      </w:r>
      <w:r>
        <w:rPr>
          <w:rFonts w:hint="default" w:ascii="Times New Roman" w:hAnsi="Times New Roman" w:eastAsia="宋体" w:cs="Times New Roman"/>
          <w:color w:val="000000"/>
          <w:sz w:val="25"/>
        </w:rPr>
        <w:t>个月单位依法缴纳养老保险证明（如有委托代理人其姓名必须在缴纳养老保险人员名单内）（必须提供，加盖公章）。</w:t>
      </w:r>
    </w:p>
    <w:p w14:paraId="0A671022">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20" w:firstLineChars="200"/>
        <w:jc w:val="both"/>
        <w:textAlignment w:val="auto"/>
        <w:rPr>
          <w:rFonts w:hint="default" w:ascii="Times New Roman" w:hAnsi="Times New Roman" w:eastAsia="宋体" w:cs="Times New Roman"/>
          <w:color w:val="000000"/>
          <w:sz w:val="26"/>
          <w:lang w:eastAsia="zh-CN"/>
        </w:rPr>
      </w:pPr>
      <w:r>
        <w:rPr>
          <w:rFonts w:hint="default" w:ascii="Times New Roman" w:hAnsi="Times New Roman" w:eastAsia="Calibri" w:cs="Times New Roman"/>
          <w:color w:val="000000"/>
          <w:sz w:val="26"/>
        </w:rPr>
        <w:t>7</w:t>
      </w:r>
      <w:r>
        <w:rPr>
          <w:rFonts w:hint="eastAsia" w:ascii="Times New Roman" w:hAnsi="Times New Roman" w:eastAsia="宋体" w:cs="Times New Roman"/>
          <w:color w:val="000000"/>
          <w:sz w:val="26"/>
          <w:lang w:val="en-US" w:eastAsia="zh-CN"/>
        </w:rPr>
        <w:t>.</w:t>
      </w:r>
      <w:r>
        <w:rPr>
          <w:rFonts w:hint="default" w:ascii="Times New Roman" w:hAnsi="Times New Roman" w:eastAsia="宋体" w:cs="Times New Roman"/>
          <w:color w:val="000000"/>
          <w:sz w:val="26"/>
        </w:rPr>
        <w:t>供应商</w:t>
      </w:r>
      <w:r>
        <w:rPr>
          <w:rFonts w:hint="default" w:ascii="Times New Roman" w:hAnsi="Times New Roman" w:eastAsia="宋体" w:cs="Times New Roman"/>
          <w:color w:val="000000"/>
          <w:sz w:val="26"/>
          <w:lang w:eastAsia="zh-CN"/>
        </w:rPr>
        <w:t>提供</w:t>
      </w:r>
      <w:r>
        <w:rPr>
          <w:rFonts w:hint="default" w:ascii="Times New Roman" w:hAnsi="Times New Roman" w:eastAsia="宋体" w:cs="Times New Roman"/>
          <w:color w:val="000000"/>
          <w:sz w:val="26"/>
        </w:rPr>
        <w:t>有效的医疗器械生产或经营许可证（加盖公章）</w:t>
      </w:r>
      <w:r>
        <w:rPr>
          <w:rFonts w:hint="default" w:ascii="Times New Roman" w:hAnsi="Times New Roman" w:eastAsia="宋体" w:cs="Times New Roman"/>
          <w:color w:val="000000"/>
          <w:sz w:val="26"/>
          <w:lang w:eastAsia="zh-CN"/>
        </w:rPr>
        <w:t>。</w:t>
      </w:r>
    </w:p>
    <w:p w14:paraId="124A93DB">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20" w:firstLineChars="200"/>
        <w:jc w:val="both"/>
        <w:textAlignment w:val="auto"/>
        <w:rPr>
          <w:rFonts w:hint="default" w:ascii="Times New Roman" w:hAnsi="Times New Roman" w:eastAsia="宋体" w:cs="Times New Roman"/>
          <w:color w:val="000000"/>
          <w:sz w:val="26"/>
          <w:lang w:eastAsia="zh-CN"/>
        </w:rPr>
      </w:pPr>
      <w:r>
        <w:rPr>
          <w:rFonts w:hint="default" w:ascii="Times New Roman" w:hAnsi="Times New Roman" w:eastAsia="Calibri" w:cs="Times New Roman"/>
          <w:color w:val="000000"/>
          <w:sz w:val="26"/>
          <w:lang w:val="en-US" w:eastAsia="zh-CN"/>
        </w:rPr>
        <w:t>8</w:t>
      </w:r>
      <w:r>
        <w:rPr>
          <w:rFonts w:hint="eastAsia" w:ascii="Times New Roman" w:hAnsi="Times New Roman" w:eastAsia="宋体" w:cs="Times New Roman"/>
          <w:color w:val="000000"/>
          <w:sz w:val="25"/>
          <w:lang w:val="en-US" w:eastAsia="zh-CN"/>
        </w:rPr>
        <w:t>.</w:t>
      </w:r>
      <w:r>
        <w:rPr>
          <w:rFonts w:hint="default" w:ascii="Times New Roman" w:hAnsi="Times New Roman" w:eastAsia="宋体" w:cs="Times New Roman"/>
          <w:color w:val="000000"/>
          <w:sz w:val="26"/>
          <w:lang w:val="en-US" w:eastAsia="zh-CN"/>
        </w:rPr>
        <w:t>提交承诺书，承诺本公司</w:t>
      </w:r>
      <w:r>
        <w:rPr>
          <w:rFonts w:hint="default" w:ascii="Times New Roman" w:hAnsi="Times New Roman" w:eastAsia="宋体" w:cs="Times New Roman"/>
          <w:color w:val="000000"/>
          <w:sz w:val="26"/>
          <w:lang w:eastAsia="zh-CN"/>
        </w:rPr>
        <w:t>拟投标产品必须在</w:t>
      </w:r>
      <w:r>
        <w:rPr>
          <w:rFonts w:hint="default" w:ascii="Times New Roman" w:hAnsi="Times New Roman" w:eastAsia="宋体" w:cs="Times New Roman"/>
          <w:color w:val="000000"/>
          <w:sz w:val="25"/>
        </w:rPr>
        <w:t>国家医疗保障信息平台药品和医用耗材招采管理子系统</w:t>
      </w:r>
      <w:r>
        <w:rPr>
          <w:rFonts w:hint="default" w:ascii="Times New Roman" w:hAnsi="Times New Roman" w:eastAsia="宋体" w:cs="Times New Roman"/>
          <w:color w:val="000000"/>
          <w:sz w:val="26"/>
          <w:lang w:eastAsia="zh-CN"/>
        </w:rPr>
        <w:t>配送企业目录内（配送自主采购耗材目录除外）。</w:t>
      </w:r>
    </w:p>
    <w:p w14:paraId="4926E74D">
      <w:pPr>
        <w:keepNext w:val="0"/>
        <w:keepLines w:val="0"/>
        <w:pageBreakBefore w:val="0"/>
        <w:widowControl w:val="0"/>
        <w:kinsoku/>
        <w:wordWrap/>
        <w:overflowPunct/>
        <w:topLinePunct w:val="0"/>
        <w:autoSpaceDE/>
        <w:autoSpaceDN/>
        <w:bidi w:val="0"/>
        <w:adjustRightInd/>
        <w:snapToGrid/>
        <w:spacing w:beforeAutospacing="0" w:after="0" w:afterAutospacing="0" w:line="400" w:lineRule="exact"/>
        <w:ind w:left="0" w:leftChars="0" w:right="0" w:rightChars="0" w:firstLine="520" w:firstLineChars="200"/>
        <w:jc w:val="both"/>
        <w:textAlignment w:val="auto"/>
        <w:rPr>
          <w:rFonts w:hint="default" w:ascii="Times New Roman" w:hAnsi="Times New Roman" w:eastAsia="宋体" w:cs="Times New Roman"/>
          <w:color w:val="000000"/>
          <w:sz w:val="26"/>
          <w:lang w:val="en-US" w:eastAsia="zh-CN"/>
        </w:rPr>
      </w:pPr>
      <w:r>
        <w:rPr>
          <w:rFonts w:hint="default" w:ascii="Times New Roman" w:hAnsi="Times New Roman" w:eastAsia="宋体" w:cs="Times New Roman"/>
          <w:color w:val="000000"/>
          <w:sz w:val="26"/>
          <w:lang w:val="en-US" w:eastAsia="zh-CN"/>
        </w:rPr>
        <w:t>9</w:t>
      </w:r>
      <w:r>
        <w:rPr>
          <w:rFonts w:hint="eastAsia" w:ascii="Times New Roman" w:hAnsi="Times New Roman" w:eastAsia="宋体" w:cs="Times New Roman"/>
          <w:color w:val="000000"/>
          <w:sz w:val="25"/>
          <w:lang w:val="en-US" w:eastAsia="zh-CN"/>
        </w:rPr>
        <w:t>.</w:t>
      </w:r>
      <w:r>
        <w:rPr>
          <w:rFonts w:hint="default" w:ascii="Times New Roman" w:hAnsi="Times New Roman" w:eastAsia="宋体" w:cs="Times New Roman"/>
          <w:color w:val="000000"/>
          <w:sz w:val="26"/>
          <w:lang w:val="en-US" w:eastAsia="zh-CN"/>
        </w:rPr>
        <w:t>本项目不接受联合体响应投标，不允许供应商对本项目进行分包或转包。</w:t>
      </w:r>
    </w:p>
    <w:p w14:paraId="42F743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10</w:t>
      </w:r>
      <w:r>
        <w:rPr>
          <w:rFonts w:hint="eastAsia" w:ascii="Times New Roman" w:hAnsi="Times New Roman" w:eastAsia="宋体" w:cs="Times New Roman"/>
          <w:color w:val="000000"/>
          <w:sz w:val="25"/>
          <w:lang w:val="en-US" w:eastAsia="zh-CN"/>
        </w:rPr>
        <w:t>.</w:t>
      </w:r>
      <w:r>
        <w:rPr>
          <w:rFonts w:hint="default" w:ascii="Times New Roman" w:hAnsi="Times New Roman" w:eastAsia="宋体" w:cs="Times New Roman"/>
          <w:color w:val="000000"/>
          <w:kern w:val="2"/>
          <w:sz w:val="26"/>
          <w:szCs w:val="24"/>
          <w:lang w:val="en-US" w:eastAsia="zh-CN" w:bidi="ar-SA"/>
        </w:rPr>
        <w:t>投标单位基本售后服务要求</w:t>
      </w:r>
    </w:p>
    <w:p w14:paraId="19CF9B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（1）投标单位应具有完善的销售供应和售后服务的保障体系，接到供货通知后,须24小时内送货；加急物资需随叫随送。</w:t>
      </w:r>
    </w:p>
    <w:p w14:paraId="1F0426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（2）产品送货当日距产品失效期不小于6个月。</w:t>
      </w:r>
    </w:p>
    <w:p w14:paraId="379E98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（3）配送由投标单位或投标单位委托的配送企业负责，并搬运入库；物品包装破损或质量有问题要求无条件更换。</w:t>
      </w:r>
    </w:p>
    <w:p w14:paraId="5E7694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firstLine="500" w:firstLineChars="200"/>
        <w:textAlignment w:val="auto"/>
        <w:rPr>
          <w:rFonts w:hint="default" w:ascii="Times New Roman" w:hAnsi="Times New Roman" w:eastAsia="宋体" w:cs="Times New Roman"/>
          <w:color w:val="000000"/>
          <w:kern w:val="2"/>
          <w:sz w:val="26"/>
          <w:szCs w:val="24"/>
          <w:lang w:val="en-US" w:eastAsia="zh-CN" w:bidi="ar-SA"/>
        </w:rPr>
      </w:pPr>
      <w:r>
        <w:rPr>
          <w:rFonts w:hint="eastAsia" w:ascii="Times New Roman" w:hAnsi="Times New Roman" w:eastAsia="宋体" w:cs="Times New Roman"/>
          <w:color w:val="000000"/>
          <w:sz w:val="25"/>
          <w:lang w:val="en-US" w:eastAsia="zh-CN"/>
        </w:rPr>
        <w:t>（4）配送医用耗材、检验试剂，必须有周转或储存仓库，且符合国家工商管理局的要求。</w:t>
      </w:r>
    </w:p>
    <w:p w14:paraId="2BD4D4D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82" w:firstLineChars="200"/>
        <w:textAlignment w:val="auto"/>
        <w:rPr>
          <w:rFonts w:hint="default" w:ascii="Times New Roman" w:hAnsi="Times New Roman" w:cs="Times New Roman"/>
          <w:b/>
          <w:bCs/>
          <w:sz w:val="24"/>
          <w:szCs w:val="24"/>
          <w:lang w:eastAsia="zh-CN"/>
        </w:rPr>
      </w:pPr>
      <w:r>
        <w:rPr>
          <w:rFonts w:hint="default" w:ascii="Times New Roman" w:hAnsi="Times New Roman" w:cs="Times New Roman"/>
          <w:b/>
          <w:bCs/>
          <w:sz w:val="24"/>
          <w:szCs w:val="24"/>
          <w:lang w:eastAsia="zh-CN"/>
        </w:rPr>
        <w:t>二、报价要求</w:t>
      </w:r>
    </w:p>
    <w:p w14:paraId="2F93A5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1.对于已经在我院供货的产品，投标价不得高于现供货价。不得明显高于广西招采子系统查询挂网价格。</w:t>
      </w:r>
    </w:p>
    <w:p w14:paraId="665AB6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2.投标价格应包括耗材运费、设备安装调试费、培训费、税费等费用。</w:t>
      </w:r>
    </w:p>
    <w:p w14:paraId="090B256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3.本次中标价格为</w:t>
      </w:r>
      <w:r>
        <w:rPr>
          <w:rFonts w:hint="eastAsia" w:ascii="Times New Roman" w:hAnsi="Times New Roman" w:eastAsia="宋体" w:cs="Times New Roman"/>
          <w:color w:val="000000"/>
          <w:kern w:val="2"/>
          <w:sz w:val="26"/>
          <w:szCs w:val="24"/>
          <w:lang w:val="en-US" w:eastAsia="zh-CN" w:bidi="ar-SA"/>
        </w:rPr>
        <w:t>3</w:t>
      </w:r>
      <w:r>
        <w:rPr>
          <w:rFonts w:hint="default" w:ascii="Times New Roman" w:hAnsi="Times New Roman" w:eastAsia="宋体" w:cs="Times New Roman"/>
          <w:color w:val="000000"/>
          <w:kern w:val="2"/>
          <w:sz w:val="26"/>
          <w:szCs w:val="24"/>
          <w:lang w:val="en-US" w:eastAsia="zh-CN" w:bidi="ar-SA"/>
        </w:rPr>
        <w:t>年合同（协议）执行价格，合同（协议）期内，招标方不会因市场价格的波动而调整合同（协议）价格。如上级部门有集中采购文件目录，合同自行作废。</w:t>
      </w:r>
    </w:p>
    <w:p w14:paraId="54B92BC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4.为防止出现恶意扰乱招标程序的报价，投标人报价明显高于市场价或明显低于成本价的，视为无效投标处理。</w:t>
      </w:r>
    </w:p>
    <w:p w14:paraId="71CCED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5.投标单位如违反上述条款，将被取消投标资格或终止合同（协议）。</w:t>
      </w:r>
    </w:p>
    <w:p w14:paraId="760A0E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2" w:firstLineChars="200"/>
        <w:textAlignment w:val="auto"/>
        <w:rPr>
          <w:rFonts w:hint="eastAsia" w:ascii="Times New Roman" w:hAnsi="Times New Roman" w:eastAsia="宋体" w:cs="Times New Roman"/>
          <w:b/>
          <w:bCs/>
          <w:color w:val="000000"/>
          <w:kern w:val="2"/>
          <w:sz w:val="26"/>
          <w:szCs w:val="24"/>
          <w:lang w:val="en-US" w:eastAsia="zh-CN" w:bidi="ar-SA"/>
        </w:rPr>
      </w:pPr>
      <w:r>
        <w:rPr>
          <w:rFonts w:hint="eastAsia" w:ascii="Times New Roman" w:hAnsi="Times New Roman" w:eastAsia="宋体" w:cs="Times New Roman"/>
          <w:b/>
          <w:bCs/>
          <w:color w:val="000000"/>
          <w:kern w:val="2"/>
          <w:sz w:val="26"/>
          <w:szCs w:val="24"/>
          <w:lang w:val="en-US" w:eastAsia="zh-CN" w:bidi="ar-SA"/>
        </w:rPr>
        <w:t>三、评审标准</w:t>
      </w:r>
    </w:p>
    <w:p w14:paraId="5323F5DA">
      <w:pPr>
        <w:pStyle w:val="2"/>
        <w:pageBreakBefore w:val="0"/>
        <w:widowControl w:val="0"/>
        <w:kinsoku/>
        <w:wordWrap/>
        <w:overflowPunct/>
        <w:topLinePunct w:val="0"/>
        <w:autoSpaceDE/>
        <w:autoSpaceDN/>
        <w:bidi w:val="0"/>
        <w:adjustRightInd/>
        <w:snapToGrid/>
        <w:spacing w:before="0" w:beforeAutospacing="0" w:afterAutospacing="0" w:line="400" w:lineRule="exact"/>
        <w:ind w:left="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cs="Times New Roman"/>
          <w:b w:val="0"/>
          <w:bCs w:val="0"/>
          <w:color w:val="000000"/>
          <w:kern w:val="2"/>
          <w:sz w:val="26"/>
          <w:szCs w:val="24"/>
          <w:lang w:val="en-US" w:eastAsia="zh-CN" w:bidi="ar-SA"/>
        </w:rPr>
        <w:t>（一）</w:t>
      </w:r>
      <w:r>
        <w:rPr>
          <w:rFonts w:hint="eastAsia" w:ascii="Times New Roman" w:hAnsi="Times New Roman" w:eastAsia="宋体" w:cs="Times New Roman"/>
          <w:b w:val="0"/>
          <w:bCs w:val="0"/>
          <w:color w:val="000000"/>
          <w:kern w:val="2"/>
          <w:sz w:val="26"/>
          <w:szCs w:val="24"/>
          <w:lang w:val="en-US" w:eastAsia="zh-CN" w:bidi="ar-SA"/>
        </w:rPr>
        <w:t>报价与成本（30%）</w:t>
      </w:r>
    </w:p>
    <w:p w14:paraId="678990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42" w:leftChars="0" w:firstLine="520" w:firstLineChars="20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评分标准：以本次有效的最低投标报价（总价）为基准价，投标报价得分=（基准价/投标报价）×30分。</w:t>
      </w:r>
    </w:p>
    <w:p w14:paraId="13EF271F">
      <w:pPr>
        <w:pStyle w:val="2"/>
        <w:pageBreakBefore w:val="0"/>
        <w:widowControl w:val="0"/>
        <w:kinsoku/>
        <w:wordWrap/>
        <w:overflowPunct/>
        <w:topLinePunct w:val="0"/>
        <w:autoSpaceDE/>
        <w:autoSpaceDN/>
        <w:bidi w:val="0"/>
        <w:adjustRightInd/>
        <w:snapToGrid/>
        <w:spacing w:before="0" w:beforeAutospacing="0" w:afterAutospacing="0" w:line="400" w:lineRule="exact"/>
        <w:ind w:left="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cs="Times New Roman"/>
          <w:b w:val="0"/>
          <w:bCs w:val="0"/>
          <w:color w:val="000000"/>
          <w:kern w:val="2"/>
          <w:sz w:val="26"/>
          <w:szCs w:val="24"/>
          <w:lang w:val="en-US" w:eastAsia="zh-CN" w:bidi="ar-SA"/>
        </w:rPr>
        <w:t>（二）</w:t>
      </w:r>
      <w:r>
        <w:rPr>
          <w:rFonts w:hint="eastAsia" w:ascii="Times New Roman" w:hAnsi="Times New Roman" w:eastAsia="宋体" w:cs="Times New Roman"/>
          <w:b w:val="0"/>
          <w:bCs w:val="0"/>
          <w:color w:val="000000"/>
          <w:kern w:val="2"/>
          <w:sz w:val="26"/>
          <w:szCs w:val="24"/>
          <w:lang w:val="en-US" w:eastAsia="zh-CN" w:bidi="ar-SA"/>
        </w:rPr>
        <w:t>产品要求（40%）</w:t>
      </w:r>
    </w:p>
    <w:p w14:paraId="2B4FA257">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left="-420" w:leftChars="-200" w:firstLine="520" w:firstLineChars="20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生产厂家与匹配性（10分）：为保证医用材料之间的相互匹配性，专机专用的产品须为同一生产厂家生产。</w:t>
      </w:r>
    </w:p>
    <w:p w14:paraId="5E1579A9">
      <w:pPr>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left="-420" w:leftChars="-200" w:firstLine="418" w:firstLineChars="161"/>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挂网耗材要求（5分）：</w:t>
      </w:r>
      <w:r>
        <w:rPr>
          <w:rFonts w:hint="eastAsia" w:ascii="Times New Roman" w:hAnsi="Times New Roman" w:eastAsia="宋体" w:cs="Times New Roman"/>
          <w:b w:val="0"/>
          <w:bCs w:val="0"/>
          <w:color w:val="000000" w:themeColor="text1"/>
          <w:kern w:val="2"/>
          <w:sz w:val="26"/>
          <w:szCs w:val="24"/>
          <w:highlight w:val="none"/>
          <w:lang w:val="en-US" w:eastAsia="zh-CN" w:bidi="ar-SA"/>
          <w14:textFill>
            <w14:solidFill>
              <w14:schemeClr w14:val="tx1"/>
            </w14:solidFill>
          </w14:textFill>
        </w:rPr>
        <w:t>所有产品均</w:t>
      </w:r>
      <w:r>
        <w:rPr>
          <w:rFonts w:hint="eastAsia" w:ascii="Times New Roman" w:hAnsi="Times New Roman" w:eastAsia="宋体" w:cs="Times New Roman"/>
          <w:b w:val="0"/>
          <w:bCs w:val="0"/>
          <w:color w:val="000000"/>
          <w:kern w:val="2"/>
          <w:sz w:val="26"/>
          <w:szCs w:val="24"/>
          <w:lang w:val="en-US" w:eastAsia="zh-CN" w:bidi="ar-SA"/>
        </w:rPr>
        <w:t>要求为招采系统挂网耗材（自主采购耗材除外），有一项非挂网耗材扣1分，扣完为止。</w:t>
      </w:r>
    </w:p>
    <w:p w14:paraId="151B97A8">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left="-420" w:leftChars="-200" w:firstLine="520" w:firstLineChars="20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核心技术条件（10分）：核心技术条件要求中有一项不满足扣5分，扣完为止。以产品注册证、权威机构的检验报告、产品说明书、宣传彩页等证明文件为依据。</w:t>
      </w:r>
    </w:p>
    <w:p w14:paraId="5F61F5E3">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left="-420" w:leftChars="-200" w:firstLine="520" w:firstLineChars="20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售后服务与应急供应（5分）：参与商家需有详细的售后服务方案及应急供应措施，包括但不限于明确的售后服务人员组成、满足配送时间的佐证材料、紧急供货措施、明确的不良或过期产品更换措施等。</w:t>
      </w:r>
    </w:p>
    <w:p w14:paraId="78890CC7">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left="-420" w:leftChars="-200" w:firstLine="520" w:firstLineChars="20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出入库验收制度（5分）：有完善的出入库验收制度。</w:t>
      </w:r>
    </w:p>
    <w:p w14:paraId="3F2214C4">
      <w:pPr>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left="-420" w:leftChars="-200" w:firstLine="418" w:firstLineChars="161"/>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商务条件与业绩（5分）：商务条件要求中有一项不满足或不合理扣3分，扣完为止。参与商家所报价产品具有二级甲等综合医院以上医疗机构2019年1月1日至今的供应业绩，每提供一个得1分，最多得5分（或根据具体情况设定分数上限和时间段）。提供合同、中标/成交通知书或连续三个月的销售票据等证明文件复印件。</w:t>
      </w:r>
    </w:p>
    <w:p w14:paraId="56F96967">
      <w:pPr>
        <w:pStyle w:val="2"/>
        <w:pageBreakBefore w:val="0"/>
        <w:widowControl w:val="0"/>
        <w:numPr>
          <w:ilvl w:val="0"/>
          <w:numId w:val="3"/>
        </w:numPr>
        <w:kinsoku/>
        <w:wordWrap/>
        <w:overflowPunct/>
        <w:topLinePunct w:val="0"/>
        <w:autoSpaceDE/>
        <w:autoSpaceDN/>
        <w:bidi w:val="0"/>
        <w:adjustRightInd/>
        <w:snapToGrid/>
        <w:spacing w:before="0" w:beforeAutospacing="0" w:afterAutospacing="0" w:line="400" w:lineRule="exact"/>
        <w:ind w:left="0"/>
        <w:textAlignment w:val="auto"/>
        <w:rPr>
          <w:rFonts w:hint="eastAsia"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技术支持与响应时间（10%）</w:t>
      </w:r>
    </w:p>
    <w:p w14:paraId="61DFC1C6">
      <w:pPr>
        <w:pStyle w:val="2"/>
        <w:pageBreakBefore w:val="0"/>
        <w:widowControl w:val="0"/>
        <w:numPr>
          <w:ilvl w:val="0"/>
          <w:numId w:val="0"/>
        </w:numPr>
        <w:kinsoku/>
        <w:wordWrap/>
        <w:overflowPunct/>
        <w:topLinePunct w:val="0"/>
        <w:autoSpaceDE/>
        <w:autoSpaceDN/>
        <w:bidi w:val="0"/>
        <w:adjustRightInd/>
        <w:snapToGrid/>
        <w:spacing w:before="0" w:beforeAutospacing="0" w:afterAutospacing="0" w:line="400" w:lineRule="exact"/>
        <w:ind w:left="-420" w:leftChars="-200" w:firstLine="418" w:firstLineChars="161"/>
        <w:textAlignment w:val="auto"/>
        <w:outlineLvl w:val="2"/>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1.技术支持（5分）：供应商能否提供技术支持，如专家团队、技术支持人员等，以及这些支持是否能够满足医院的需求。</w:t>
      </w:r>
    </w:p>
    <w:p w14:paraId="31556C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42" w:leftChars="0" w:firstLine="520" w:firstLineChars="20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2.急诊响应时间（5分）</w:t>
      </w:r>
    </w:p>
    <w:p w14:paraId="6C987FB8">
      <w:pPr>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40" w:leftChars="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评估供应商在紧急情况下的响应时间，如能否及时提供所需耗材及专家技术支持。具体评分可根据响应时间的长短进行划分。</w:t>
      </w:r>
    </w:p>
    <w:p w14:paraId="4A0D2684">
      <w:pPr>
        <w:pStyle w:val="2"/>
        <w:pageBreakBefore w:val="0"/>
        <w:widowControl w:val="0"/>
        <w:kinsoku/>
        <w:wordWrap/>
        <w:overflowPunct/>
        <w:topLinePunct w:val="0"/>
        <w:autoSpaceDE/>
        <w:autoSpaceDN/>
        <w:bidi w:val="0"/>
        <w:adjustRightInd/>
        <w:snapToGrid/>
        <w:spacing w:before="0" w:beforeAutospacing="0" w:afterAutospacing="0" w:line="400" w:lineRule="exact"/>
        <w:ind w:left="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cs="Times New Roman"/>
          <w:b w:val="0"/>
          <w:bCs w:val="0"/>
          <w:color w:val="000000"/>
          <w:kern w:val="2"/>
          <w:sz w:val="26"/>
          <w:szCs w:val="24"/>
          <w:lang w:val="en-US" w:eastAsia="zh-CN" w:bidi="ar-SA"/>
        </w:rPr>
        <w:t>（四）</w:t>
      </w:r>
      <w:r>
        <w:rPr>
          <w:rFonts w:hint="eastAsia" w:ascii="Times New Roman" w:hAnsi="Times New Roman" w:eastAsia="宋体" w:cs="Times New Roman"/>
          <w:b w:val="0"/>
          <w:bCs w:val="0"/>
          <w:color w:val="000000"/>
          <w:kern w:val="2"/>
          <w:sz w:val="26"/>
          <w:szCs w:val="24"/>
          <w:lang w:val="en-US" w:eastAsia="zh-CN" w:bidi="ar-SA"/>
        </w:rPr>
        <w:t>其他因素（20%）</w:t>
      </w:r>
    </w:p>
    <w:p w14:paraId="2E0056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42" w:leftChars="0" w:firstLine="520" w:firstLineChars="20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1.企业资质与信誉（5分）：评估供应商的企业资质是否齐全，如营业执照、医疗器械经营许可证、税务登记证等。同时，考虑供应商的商业信誉和财务状况。</w:t>
      </w:r>
    </w:p>
    <w:p w14:paraId="04CC7EF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42" w:leftChars="0" w:firstLine="520" w:firstLineChars="200"/>
        <w:textAlignment w:val="auto"/>
        <w:rPr>
          <w:rFonts w:hint="default" w:ascii="Times New Roman" w:hAnsi="Times New Roman" w:eastAsia="宋体" w:cs="Times New Roman"/>
          <w:b w:val="0"/>
          <w:bCs w:val="0"/>
          <w:color w:val="000000"/>
          <w:kern w:val="2"/>
          <w:sz w:val="26"/>
          <w:szCs w:val="24"/>
          <w:lang w:val="en-US" w:eastAsia="zh-CN" w:bidi="ar-SA"/>
        </w:rPr>
      </w:pPr>
      <w:r>
        <w:rPr>
          <w:rFonts w:hint="eastAsia" w:ascii="Times New Roman" w:hAnsi="Times New Roman" w:eastAsia="宋体" w:cs="Times New Roman"/>
          <w:b w:val="0"/>
          <w:bCs w:val="0"/>
          <w:color w:val="000000"/>
          <w:kern w:val="2"/>
          <w:sz w:val="26"/>
          <w:szCs w:val="24"/>
          <w:lang w:val="en-US" w:eastAsia="zh-CN" w:bidi="ar-SA"/>
        </w:rPr>
        <w:t>2.综合表现与合规性（5分）：评估供应商在以往的合作中是否表现良好，是否存在违约行为或不良记录。同时，考虑供应商是否遵守相关法律法规和行业标准。</w:t>
      </w:r>
    </w:p>
    <w:p w14:paraId="7CA496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442" w:leftChars="0" w:firstLine="520" w:firstLineChars="200"/>
        <w:textAlignment w:val="auto"/>
        <w:rPr>
          <w:rFonts w:hint="default" w:eastAsia="微软雅黑"/>
          <w:color w:val="0000FF"/>
          <w:sz w:val="26"/>
          <w:lang w:val="en-US" w:eastAsia="zh-CN"/>
        </w:rPr>
      </w:pPr>
      <w:r>
        <w:rPr>
          <w:rFonts w:hint="eastAsia" w:ascii="Times New Roman" w:hAnsi="Times New Roman" w:eastAsia="宋体" w:cs="Times New Roman"/>
          <w:b w:val="0"/>
          <w:bCs w:val="0"/>
          <w:color w:val="000000"/>
          <w:kern w:val="2"/>
          <w:sz w:val="26"/>
          <w:szCs w:val="24"/>
          <w:lang w:val="en-US" w:eastAsia="zh-CN" w:bidi="ar-SA"/>
        </w:rPr>
        <w:t>3.供应商响应的耗材数量（10分）：供应商响应的耗材占医院提供的耗材目录清单10%得1分，每增加10%加1分，以此类推，本项满分10分。</w:t>
      </w:r>
    </w:p>
    <w:p w14:paraId="3930BFB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eastAsia" w:ascii="Times New Roman" w:hAnsi="Times New Roman" w:eastAsia="宋体" w:cs="Times New Roman"/>
          <w:color w:val="000000"/>
          <w:kern w:val="2"/>
          <w:sz w:val="26"/>
          <w:szCs w:val="24"/>
          <w:lang w:val="en-US" w:eastAsia="zh-CN" w:bidi="ar-SA"/>
        </w:rPr>
      </w:pPr>
    </w:p>
    <w:p w14:paraId="7E9317DE">
      <w:pPr>
        <w:rPr>
          <w:rFonts w:hint="default" w:ascii="Times New Roman" w:hAnsi="Times New Roman" w:cs="Times New Roman"/>
          <w:b/>
          <w:bCs/>
          <w:sz w:val="44"/>
          <w:szCs w:val="44"/>
          <w:lang w:eastAsia="zh-CN"/>
        </w:rPr>
      </w:pPr>
      <w:r>
        <w:rPr>
          <w:rFonts w:hint="default" w:ascii="Times New Roman" w:hAnsi="Times New Roman" w:cs="Times New Roman"/>
          <w:b/>
          <w:bCs/>
          <w:sz w:val="44"/>
          <w:szCs w:val="44"/>
          <w:lang w:val="en-US" w:eastAsia="zh-CN"/>
        </w:rPr>
        <w:t xml:space="preserve"> </w:t>
      </w:r>
      <w:r>
        <w:rPr>
          <w:rFonts w:hint="default" w:ascii="Times New Roman" w:hAnsi="Times New Roman" w:cs="Times New Roman"/>
          <w:b/>
          <w:bCs/>
          <w:sz w:val="44"/>
          <w:szCs w:val="44"/>
          <w:lang w:eastAsia="zh-CN"/>
        </w:rPr>
        <w:t>投标文件格式</w:t>
      </w:r>
    </w:p>
    <w:p w14:paraId="667FBD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2" w:firstLineChars="200"/>
        <w:textAlignment w:val="auto"/>
        <w:rPr>
          <w:rFonts w:hint="default" w:ascii="Times New Roman" w:hAnsi="Times New Roman" w:eastAsia="宋体" w:cs="Times New Roman"/>
          <w:b/>
          <w:bCs/>
          <w:color w:val="000000"/>
          <w:kern w:val="2"/>
          <w:sz w:val="26"/>
          <w:szCs w:val="24"/>
          <w:lang w:val="en-US" w:eastAsia="zh-CN" w:bidi="ar-SA"/>
        </w:rPr>
      </w:pPr>
      <w:r>
        <w:rPr>
          <w:rFonts w:hint="default" w:ascii="Times New Roman" w:hAnsi="Times New Roman" w:eastAsia="宋体" w:cs="Times New Roman"/>
          <w:b/>
          <w:bCs/>
          <w:color w:val="000000"/>
          <w:kern w:val="2"/>
          <w:sz w:val="26"/>
          <w:szCs w:val="24"/>
          <w:lang w:val="en-US" w:eastAsia="zh-CN" w:bidi="ar-SA"/>
        </w:rPr>
        <w:t>一、投标文件内容包括（逐页加盖公章并装订成册）</w:t>
      </w:r>
    </w:p>
    <w:p w14:paraId="2807D5BA">
      <w:pPr>
        <w:keepNext w:val="0"/>
        <w:keepLines w:val="0"/>
        <w:pageBreakBefore w:val="0"/>
        <w:widowControl w:val="0"/>
        <w:kinsoku/>
        <w:wordWrap/>
        <w:overflowPunct/>
        <w:topLinePunct w:val="0"/>
        <w:autoSpaceDE/>
        <w:autoSpaceDN/>
        <w:bidi w:val="0"/>
        <w:adjustRightInd/>
        <w:snapToGrid/>
        <w:spacing w:before="0" w:after="0" w:line="400" w:lineRule="exact"/>
        <w:ind w:firstLine="520" w:firstLineChars="200"/>
        <w:jc w:val="both"/>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1.《XXXX公司医用耗材</w:t>
      </w:r>
      <w:r>
        <w:rPr>
          <w:rFonts w:hint="eastAsia" w:ascii="Times New Roman" w:hAnsi="Times New Roman" w:eastAsia="宋体" w:cs="Times New Roman"/>
          <w:color w:val="000000"/>
          <w:kern w:val="2"/>
          <w:sz w:val="26"/>
          <w:szCs w:val="24"/>
          <w:lang w:val="en-US" w:eastAsia="zh-CN" w:bidi="ar-SA"/>
        </w:rPr>
        <w:t>、检验试剂</w:t>
      </w:r>
      <w:r>
        <w:rPr>
          <w:rFonts w:hint="default" w:ascii="Times New Roman" w:hAnsi="Times New Roman" w:eastAsia="宋体" w:cs="Times New Roman"/>
          <w:color w:val="000000"/>
          <w:kern w:val="2"/>
          <w:sz w:val="26"/>
          <w:szCs w:val="24"/>
          <w:lang w:val="en-US" w:eastAsia="zh-CN" w:bidi="ar-SA"/>
        </w:rPr>
        <w:t>供货目录表》（附一）；（置于标书首页）</w:t>
      </w:r>
    </w:p>
    <w:p w14:paraId="5123AB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2.投标单位营业执照</w:t>
      </w:r>
    </w:p>
    <w:p w14:paraId="02FD32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3.投标单位医疗器械经营许可证</w:t>
      </w:r>
    </w:p>
    <w:p w14:paraId="70FDBA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sz w:val="26"/>
        </w:rPr>
      </w:pPr>
      <w:r>
        <w:rPr>
          <w:rFonts w:hint="default" w:ascii="Times New Roman" w:hAnsi="Times New Roman" w:eastAsia="宋体" w:cs="Times New Roman"/>
          <w:color w:val="000000"/>
          <w:kern w:val="2"/>
          <w:sz w:val="26"/>
          <w:szCs w:val="24"/>
          <w:lang w:val="en-US" w:eastAsia="zh-CN" w:bidi="ar-SA"/>
        </w:rPr>
        <w:t>4.</w:t>
      </w:r>
      <w:r>
        <w:rPr>
          <w:rFonts w:hint="default" w:ascii="Times New Roman" w:hAnsi="Times New Roman" w:eastAsia="宋体" w:cs="Times New Roman"/>
          <w:color w:val="000000"/>
          <w:sz w:val="26"/>
        </w:rPr>
        <w:t>资格证明文件（本公告</w:t>
      </w:r>
      <w:r>
        <w:rPr>
          <w:rFonts w:hint="default" w:ascii="Times New Roman" w:hAnsi="Times New Roman" w:eastAsia="宋体" w:cs="Times New Roman"/>
          <w:color w:val="000000"/>
          <w:sz w:val="26"/>
          <w:lang w:eastAsia="zh-CN"/>
        </w:rPr>
        <w:t>“准入资格”要求</w:t>
      </w:r>
      <w:r>
        <w:rPr>
          <w:rFonts w:hint="default" w:ascii="Times New Roman" w:hAnsi="Times New Roman" w:eastAsia="宋体" w:cs="Times New Roman"/>
          <w:color w:val="000000"/>
          <w:sz w:val="26"/>
        </w:rPr>
        <w:t>）</w:t>
      </w:r>
    </w:p>
    <w:p w14:paraId="562FB5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sz w:val="26"/>
          <w:lang w:val="en-US" w:eastAsia="zh-CN"/>
        </w:rPr>
        <w:t>5.</w:t>
      </w:r>
      <w:r>
        <w:rPr>
          <w:rFonts w:hint="default" w:ascii="Times New Roman" w:hAnsi="Times New Roman" w:eastAsia="宋体" w:cs="Times New Roman"/>
          <w:color w:val="000000"/>
          <w:kern w:val="2"/>
          <w:sz w:val="26"/>
          <w:szCs w:val="24"/>
          <w:lang w:val="en-US" w:eastAsia="zh-CN" w:bidi="ar-SA"/>
        </w:rPr>
        <w:t>法人代表人授权委托书》法定代表人、受委托人身份证复印件</w:t>
      </w:r>
    </w:p>
    <w:p w14:paraId="52D9F9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eastAsia" w:ascii="Times New Roman" w:hAnsi="Times New Roman" w:eastAsia="宋体" w:cs="Times New Roman"/>
          <w:color w:val="000000"/>
          <w:kern w:val="2"/>
          <w:sz w:val="26"/>
          <w:szCs w:val="24"/>
          <w:lang w:val="en-US" w:eastAsia="zh-CN" w:bidi="ar-SA"/>
        </w:rPr>
        <w:t>6</w:t>
      </w:r>
      <w:r>
        <w:rPr>
          <w:rFonts w:hint="default" w:ascii="Times New Roman" w:hAnsi="Times New Roman" w:eastAsia="宋体" w:cs="Times New Roman"/>
          <w:color w:val="000000"/>
          <w:kern w:val="2"/>
          <w:sz w:val="26"/>
          <w:szCs w:val="24"/>
          <w:lang w:val="en-US" w:eastAsia="zh-CN" w:bidi="ar-SA"/>
        </w:rPr>
        <w:t>.产品质量与服务承诺书</w:t>
      </w:r>
    </w:p>
    <w:p w14:paraId="44F1EAC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eastAsia" w:ascii="Times New Roman" w:hAnsi="Times New Roman" w:eastAsia="宋体" w:cs="Times New Roman"/>
          <w:color w:val="000000"/>
          <w:kern w:val="2"/>
          <w:sz w:val="26"/>
          <w:szCs w:val="24"/>
          <w:lang w:val="en-US" w:eastAsia="zh-CN" w:bidi="ar-SA"/>
        </w:rPr>
        <w:t>7</w:t>
      </w:r>
      <w:r>
        <w:rPr>
          <w:rFonts w:hint="default" w:ascii="Times New Roman" w:hAnsi="Times New Roman" w:eastAsia="宋体" w:cs="Times New Roman"/>
          <w:color w:val="000000"/>
          <w:kern w:val="2"/>
          <w:sz w:val="26"/>
          <w:szCs w:val="24"/>
          <w:lang w:val="en-US" w:eastAsia="zh-CN" w:bidi="ar-SA"/>
        </w:rPr>
        <w:t>.生产厂家营业执照</w:t>
      </w:r>
    </w:p>
    <w:p w14:paraId="47E79C3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eastAsia" w:ascii="Times New Roman" w:hAnsi="Times New Roman" w:eastAsia="宋体" w:cs="Times New Roman"/>
          <w:color w:val="000000"/>
          <w:kern w:val="2"/>
          <w:sz w:val="26"/>
          <w:szCs w:val="24"/>
          <w:lang w:val="en-US" w:eastAsia="zh-CN" w:bidi="ar-SA"/>
        </w:rPr>
        <w:t>8</w:t>
      </w:r>
      <w:r>
        <w:rPr>
          <w:rFonts w:hint="default" w:ascii="Times New Roman" w:hAnsi="Times New Roman" w:eastAsia="宋体" w:cs="Times New Roman"/>
          <w:color w:val="000000"/>
          <w:kern w:val="2"/>
          <w:sz w:val="26"/>
          <w:szCs w:val="24"/>
          <w:lang w:val="en-US" w:eastAsia="zh-CN" w:bidi="ar-SA"/>
        </w:rPr>
        <w:t>.生产厂家生产许可证</w:t>
      </w:r>
    </w:p>
    <w:p w14:paraId="043A664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eastAsia" w:ascii="Times New Roman" w:hAnsi="Times New Roman" w:eastAsia="宋体" w:cs="Times New Roman"/>
          <w:color w:val="000000"/>
          <w:kern w:val="2"/>
          <w:sz w:val="26"/>
          <w:szCs w:val="24"/>
          <w:lang w:val="en-US" w:eastAsia="zh-CN" w:bidi="ar-SA"/>
        </w:rPr>
        <w:t>9</w:t>
      </w:r>
      <w:r>
        <w:rPr>
          <w:rFonts w:hint="default" w:ascii="Times New Roman" w:hAnsi="Times New Roman" w:eastAsia="宋体" w:cs="Times New Roman"/>
          <w:color w:val="000000"/>
          <w:kern w:val="2"/>
          <w:sz w:val="26"/>
          <w:szCs w:val="24"/>
          <w:lang w:val="en-US" w:eastAsia="zh-CN" w:bidi="ar-SA"/>
        </w:rPr>
        <w:t>.医疗器械注册证（按投标产品目录次序）</w:t>
      </w:r>
    </w:p>
    <w:p w14:paraId="4FEECB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1</w:t>
      </w:r>
      <w:r>
        <w:rPr>
          <w:rFonts w:hint="eastAsia" w:ascii="Times New Roman" w:hAnsi="Times New Roman" w:eastAsia="宋体" w:cs="Times New Roman"/>
          <w:color w:val="000000"/>
          <w:kern w:val="2"/>
          <w:sz w:val="26"/>
          <w:szCs w:val="24"/>
          <w:lang w:val="en-US" w:eastAsia="zh-CN" w:bidi="ar-SA"/>
        </w:rPr>
        <w:t>0</w:t>
      </w:r>
      <w:r>
        <w:rPr>
          <w:rFonts w:hint="default" w:ascii="Times New Roman" w:hAnsi="Times New Roman" w:eastAsia="宋体" w:cs="Times New Roman"/>
          <w:color w:val="000000"/>
          <w:kern w:val="2"/>
          <w:sz w:val="26"/>
          <w:szCs w:val="24"/>
          <w:lang w:val="en-US" w:eastAsia="zh-CN" w:bidi="ar-SA"/>
        </w:rPr>
        <w:t>.医疗器械生产企业检验报告（国产）、医疗器械入境货物检验检疫证明（进口）</w:t>
      </w:r>
    </w:p>
    <w:p w14:paraId="632B8C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1</w:t>
      </w:r>
      <w:r>
        <w:rPr>
          <w:rFonts w:hint="eastAsia" w:ascii="Times New Roman" w:hAnsi="Times New Roman" w:eastAsia="宋体" w:cs="Times New Roman"/>
          <w:color w:val="000000"/>
          <w:kern w:val="2"/>
          <w:sz w:val="26"/>
          <w:szCs w:val="24"/>
          <w:lang w:val="en-US" w:eastAsia="zh-CN" w:bidi="ar-SA"/>
        </w:rPr>
        <w:t>1</w:t>
      </w:r>
      <w:r>
        <w:rPr>
          <w:rFonts w:hint="default" w:ascii="Times New Roman" w:hAnsi="Times New Roman" w:eastAsia="宋体" w:cs="Times New Roman"/>
          <w:color w:val="000000"/>
          <w:kern w:val="2"/>
          <w:sz w:val="26"/>
          <w:szCs w:val="24"/>
          <w:lang w:val="en-US" w:eastAsia="zh-CN" w:bidi="ar-SA"/>
        </w:rPr>
        <w:t>.技术文件资料（产品彩页、产品说明书等）</w:t>
      </w:r>
    </w:p>
    <w:p w14:paraId="2A8795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1</w:t>
      </w:r>
      <w:r>
        <w:rPr>
          <w:rFonts w:hint="eastAsia" w:ascii="Times New Roman" w:hAnsi="Times New Roman" w:eastAsia="宋体" w:cs="Times New Roman"/>
          <w:color w:val="000000"/>
          <w:kern w:val="2"/>
          <w:sz w:val="26"/>
          <w:szCs w:val="24"/>
          <w:lang w:val="en-US" w:eastAsia="zh-CN" w:bidi="ar-SA"/>
        </w:rPr>
        <w:t>2</w:t>
      </w:r>
      <w:r>
        <w:rPr>
          <w:rFonts w:hint="default" w:ascii="Times New Roman" w:hAnsi="Times New Roman" w:eastAsia="宋体" w:cs="Times New Roman"/>
          <w:color w:val="000000"/>
          <w:kern w:val="2"/>
          <w:sz w:val="26"/>
          <w:szCs w:val="24"/>
          <w:lang w:val="en-US" w:eastAsia="zh-CN" w:bidi="ar-SA"/>
        </w:rPr>
        <w:t>.该产品售予其他同级别及以上医院的供货发票及明细复印件（3家以上）</w:t>
      </w:r>
    </w:p>
    <w:p w14:paraId="474834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1</w:t>
      </w:r>
      <w:r>
        <w:rPr>
          <w:rFonts w:hint="eastAsia" w:ascii="Times New Roman" w:hAnsi="Times New Roman" w:eastAsia="宋体" w:cs="Times New Roman"/>
          <w:color w:val="000000"/>
          <w:kern w:val="2"/>
          <w:sz w:val="26"/>
          <w:szCs w:val="24"/>
          <w:lang w:val="en-US" w:eastAsia="zh-CN" w:bidi="ar-SA"/>
        </w:rPr>
        <w:t>3</w:t>
      </w:r>
      <w:r>
        <w:rPr>
          <w:rFonts w:hint="default" w:ascii="Times New Roman" w:hAnsi="Times New Roman" w:eastAsia="宋体" w:cs="Times New Roman"/>
          <w:color w:val="000000"/>
          <w:kern w:val="2"/>
          <w:sz w:val="26"/>
          <w:szCs w:val="24"/>
          <w:lang w:val="en-US" w:eastAsia="zh-CN" w:bidi="ar-SA"/>
        </w:rPr>
        <w:t>.投标产品</w:t>
      </w:r>
      <w:r>
        <w:rPr>
          <w:rFonts w:hint="eastAsia" w:ascii="Times New Roman" w:hAnsi="Times New Roman" w:eastAsia="宋体" w:cs="Times New Roman"/>
          <w:color w:val="000000"/>
          <w:kern w:val="2"/>
          <w:sz w:val="26"/>
          <w:szCs w:val="24"/>
          <w:lang w:val="en-US" w:eastAsia="zh-CN" w:bidi="ar-SA"/>
        </w:rPr>
        <w:t>必要时提供</w:t>
      </w:r>
      <w:r>
        <w:rPr>
          <w:rFonts w:hint="default" w:ascii="Times New Roman" w:hAnsi="Times New Roman" w:eastAsia="宋体" w:cs="Times New Roman"/>
          <w:color w:val="000000"/>
          <w:kern w:val="2"/>
          <w:sz w:val="26"/>
          <w:szCs w:val="24"/>
          <w:lang w:val="en-US" w:eastAsia="zh-CN" w:bidi="ar-SA"/>
        </w:rPr>
        <w:t>样品（样品上粘贴便签注明品目、物资名称、投标单位等内容）</w:t>
      </w:r>
    </w:p>
    <w:p w14:paraId="21BAAF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2" w:firstLineChars="200"/>
        <w:textAlignment w:val="auto"/>
        <w:rPr>
          <w:rFonts w:hint="default" w:ascii="Times New Roman" w:hAnsi="Times New Roman" w:eastAsia="宋体" w:cs="Times New Roman"/>
          <w:b/>
          <w:bCs/>
          <w:color w:val="000000"/>
          <w:kern w:val="2"/>
          <w:sz w:val="26"/>
          <w:szCs w:val="24"/>
          <w:lang w:val="en-US" w:eastAsia="zh-CN" w:bidi="ar-SA"/>
        </w:rPr>
      </w:pPr>
      <w:r>
        <w:rPr>
          <w:rFonts w:hint="default" w:ascii="Times New Roman" w:hAnsi="Times New Roman" w:eastAsia="宋体" w:cs="Times New Roman"/>
          <w:b/>
          <w:bCs/>
          <w:color w:val="000000"/>
          <w:kern w:val="2"/>
          <w:sz w:val="26"/>
          <w:szCs w:val="24"/>
          <w:lang w:val="en-US" w:eastAsia="zh-CN" w:bidi="ar-SA"/>
        </w:rPr>
        <w:t>二、</w:t>
      </w:r>
      <w:r>
        <w:rPr>
          <w:rFonts w:hint="eastAsia" w:ascii="Times New Roman" w:hAnsi="Times New Roman" w:eastAsia="宋体" w:cs="Times New Roman"/>
          <w:b/>
          <w:bCs/>
          <w:color w:val="000000"/>
          <w:kern w:val="2"/>
          <w:sz w:val="26"/>
          <w:szCs w:val="24"/>
          <w:lang w:val="en-US" w:eastAsia="zh-CN" w:bidi="ar-SA"/>
        </w:rPr>
        <w:t>遴</w:t>
      </w:r>
      <w:r>
        <w:rPr>
          <w:rFonts w:hint="default" w:ascii="Times New Roman" w:hAnsi="Times New Roman" w:eastAsia="宋体" w:cs="Times New Roman"/>
          <w:b/>
          <w:bCs/>
          <w:color w:val="000000"/>
          <w:kern w:val="2"/>
          <w:sz w:val="26"/>
          <w:szCs w:val="24"/>
          <w:lang w:val="en-US" w:eastAsia="zh-CN" w:bidi="ar-SA"/>
        </w:rPr>
        <w:t>选响应文件的编制、装订、密封要求</w:t>
      </w:r>
    </w:p>
    <w:p w14:paraId="365DC5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1.</w:t>
      </w:r>
      <w:r>
        <w:rPr>
          <w:rFonts w:hint="eastAsia" w:ascii="Times New Roman" w:hAnsi="Times New Roman" w:eastAsia="宋体" w:cs="Times New Roman"/>
          <w:color w:val="000000"/>
          <w:kern w:val="2"/>
          <w:sz w:val="26"/>
          <w:szCs w:val="24"/>
          <w:lang w:val="en-US" w:eastAsia="zh-CN" w:bidi="ar-SA"/>
        </w:rPr>
        <w:t>遴</w:t>
      </w:r>
      <w:r>
        <w:rPr>
          <w:rFonts w:hint="default" w:ascii="Times New Roman" w:hAnsi="Times New Roman" w:eastAsia="宋体" w:cs="Times New Roman"/>
          <w:color w:val="000000"/>
          <w:kern w:val="2"/>
          <w:sz w:val="26"/>
          <w:szCs w:val="24"/>
          <w:lang w:val="en-US" w:eastAsia="zh-CN" w:bidi="ar-SA"/>
        </w:rPr>
        <w:t>选响应文件应用不褪色的材料书写、打印或复印，按</w:t>
      </w:r>
      <w:r>
        <w:rPr>
          <w:rFonts w:hint="eastAsia" w:ascii="Times New Roman" w:hAnsi="Times New Roman" w:eastAsia="宋体" w:cs="Times New Roman"/>
          <w:color w:val="000000"/>
          <w:kern w:val="2"/>
          <w:sz w:val="26"/>
          <w:szCs w:val="24"/>
          <w:lang w:val="en-US" w:eastAsia="zh-CN" w:bidi="ar-SA"/>
        </w:rPr>
        <w:t>遴</w:t>
      </w:r>
      <w:r>
        <w:rPr>
          <w:rFonts w:hint="default" w:ascii="Times New Roman" w:hAnsi="Times New Roman" w:eastAsia="宋体" w:cs="Times New Roman"/>
          <w:color w:val="000000"/>
          <w:kern w:val="2"/>
          <w:sz w:val="26"/>
          <w:szCs w:val="24"/>
          <w:lang w:val="en-US" w:eastAsia="zh-CN" w:bidi="ar-SA"/>
        </w:rPr>
        <w:t>选文件要求需加盖单位公章或法定代表人签字或其委托代理人签字处，须加盖单位公章或签字。</w:t>
      </w:r>
      <w:r>
        <w:rPr>
          <w:rFonts w:hint="eastAsia" w:ascii="Times New Roman" w:hAnsi="Times New Roman" w:eastAsia="宋体" w:cs="Times New Roman"/>
          <w:color w:val="000000"/>
          <w:kern w:val="2"/>
          <w:sz w:val="26"/>
          <w:szCs w:val="24"/>
          <w:lang w:val="en-US" w:eastAsia="zh-CN" w:bidi="ar-SA"/>
        </w:rPr>
        <w:t>遴</w:t>
      </w:r>
      <w:r>
        <w:rPr>
          <w:rFonts w:hint="default" w:ascii="Times New Roman" w:hAnsi="Times New Roman" w:eastAsia="宋体" w:cs="Times New Roman"/>
          <w:color w:val="000000"/>
          <w:kern w:val="2"/>
          <w:sz w:val="26"/>
          <w:szCs w:val="24"/>
          <w:lang w:val="en-US" w:eastAsia="zh-CN" w:bidi="ar-SA"/>
        </w:rPr>
        <w:t>选响应文件应尽量避免涂改、行间插字或删除。如果出现上述情况，改动之处应加盖单位公章或由法定代表人签字或其委托代理人签字。</w:t>
      </w:r>
    </w:p>
    <w:p w14:paraId="415AB0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2.</w:t>
      </w:r>
      <w:r>
        <w:rPr>
          <w:rFonts w:hint="eastAsia" w:ascii="Times New Roman" w:hAnsi="Times New Roman" w:eastAsia="宋体" w:cs="Times New Roman"/>
          <w:color w:val="000000"/>
          <w:kern w:val="2"/>
          <w:sz w:val="26"/>
          <w:szCs w:val="24"/>
          <w:lang w:val="en-US" w:eastAsia="zh-CN" w:bidi="ar-SA"/>
        </w:rPr>
        <w:t>遴</w:t>
      </w:r>
      <w:r>
        <w:rPr>
          <w:rFonts w:hint="default" w:ascii="Times New Roman" w:hAnsi="Times New Roman" w:eastAsia="宋体" w:cs="Times New Roman"/>
          <w:color w:val="000000"/>
          <w:kern w:val="2"/>
          <w:sz w:val="26"/>
          <w:szCs w:val="24"/>
          <w:lang w:val="en-US" w:eastAsia="zh-CN" w:bidi="ar-SA"/>
        </w:rPr>
        <w:t>选响应文件应按比选文件要求的顺序编制，装订成册。</w:t>
      </w:r>
    </w:p>
    <w:p w14:paraId="391F5F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3.</w:t>
      </w:r>
      <w:r>
        <w:rPr>
          <w:rFonts w:hint="eastAsia" w:ascii="Times New Roman" w:hAnsi="Times New Roman" w:eastAsia="宋体" w:cs="Times New Roman"/>
          <w:color w:val="000000"/>
          <w:kern w:val="2"/>
          <w:sz w:val="26"/>
          <w:szCs w:val="24"/>
          <w:lang w:val="en-US" w:eastAsia="zh-CN" w:bidi="ar-SA"/>
        </w:rPr>
        <w:t>遴</w:t>
      </w:r>
      <w:r>
        <w:rPr>
          <w:rFonts w:hint="default" w:ascii="Times New Roman" w:hAnsi="Times New Roman" w:eastAsia="宋体" w:cs="Times New Roman"/>
          <w:color w:val="000000"/>
          <w:kern w:val="2"/>
          <w:sz w:val="26"/>
          <w:szCs w:val="24"/>
          <w:lang w:val="en-US" w:eastAsia="zh-CN" w:bidi="ar-SA"/>
        </w:rPr>
        <w:t>选响应文件均加盖公章，封袋密封，并在封套的封口处加盖单位公章或由法定代表人签字或其委托代理人签字。</w:t>
      </w:r>
    </w:p>
    <w:p w14:paraId="566B4B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2" w:firstLineChars="200"/>
        <w:textAlignment w:val="auto"/>
        <w:rPr>
          <w:rFonts w:hint="default" w:ascii="Times New Roman" w:hAnsi="Times New Roman" w:eastAsia="宋体" w:cs="Times New Roman"/>
          <w:b/>
          <w:bCs/>
          <w:color w:val="000000"/>
          <w:kern w:val="2"/>
          <w:sz w:val="26"/>
          <w:szCs w:val="24"/>
          <w:lang w:val="en-US" w:eastAsia="zh-CN" w:bidi="ar-SA"/>
        </w:rPr>
      </w:pPr>
      <w:r>
        <w:rPr>
          <w:rFonts w:hint="default" w:ascii="Times New Roman" w:hAnsi="Times New Roman" w:eastAsia="宋体" w:cs="Times New Roman"/>
          <w:b/>
          <w:bCs/>
          <w:color w:val="000000"/>
          <w:kern w:val="2"/>
          <w:sz w:val="26"/>
          <w:szCs w:val="24"/>
          <w:lang w:val="en-US" w:eastAsia="zh-CN" w:bidi="ar-SA"/>
        </w:rPr>
        <w:t>三、</w:t>
      </w:r>
      <w:r>
        <w:rPr>
          <w:rFonts w:hint="eastAsia" w:ascii="Times New Roman" w:hAnsi="Times New Roman" w:eastAsia="宋体" w:cs="Times New Roman"/>
          <w:b/>
          <w:bCs/>
          <w:color w:val="000000"/>
          <w:kern w:val="2"/>
          <w:sz w:val="26"/>
          <w:szCs w:val="24"/>
          <w:lang w:val="en-US" w:eastAsia="zh-CN" w:bidi="ar-SA"/>
        </w:rPr>
        <w:t>遴</w:t>
      </w:r>
      <w:r>
        <w:rPr>
          <w:rFonts w:hint="default" w:ascii="Times New Roman" w:hAnsi="Times New Roman" w:eastAsia="宋体" w:cs="Times New Roman"/>
          <w:b/>
          <w:bCs/>
          <w:color w:val="000000"/>
          <w:kern w:val="2"/>
          <w:sz w:val="26"/>
          <w:szCs w:val="24"/>
          <w:lang w:val="en-US" w:eastAsia="zh-CN" w:bidi="ar-SA"/>
        </w:rPr>
        <w:t>选方法及原则</w:t>
      </w:r>
    </w:p>
    <w:p w14:paraId="0951FD5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1.按规定时间内报名及规定时间内递交标书文件者符合开标条件。</w:t>
      </w:r>
    </w:p>
    <w:p w14:paraId="5A58F9D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2.评审小组根据各比选响应方的产品质量、售后服务承诺、比选报价等因素综合评价，最后确定成交人。</w:t>
      </w:r>
    </w:p>
    <w:p w14:paraId="17EC9E3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3.价格是</w:t>
      </w:r>
      <w:r>
        <w:rPr>
          <w:rFonts w:hint="eastAsia" w:ascii="Times New Roman" w:hAnsi="Times New Roman" w:eastAsia="宋体" w:cs="Times New Roman"/>
          <w:color w:val="000000"/>
          <w:kern w:val="2"/>
          <w:sz w:val="26"/>
          <w:szCs w:val="24"/>
          <w:lang w:val="en-US" w:eastAsia="zh-CN" w:bidi="ar-SA"/>
        </w:rPr>
        <w:t>遴</w:t>
      </w:r>
      <w:r>
        <w:rPr>
          <w:rFonts w:hint="default" w:ascii="Times New Roman" w:hAnsi="Times New Roman" w:eastAsia="宋体" w:cs="Times New Roman"/>
          <w:color w:val="000000"/>
          <w:kern w:val="2"/>
          <w:sz w:val="26"/>
          <w:szCs w:val="24"/>
          <w:lang w:val="en-US" w:eastAsia="zh-CN" w:bidi="ar-SA"/>
        </w:rPr>
        <w:t>选的重要因素之一，但最低价不是</w:t>
      </w:r>
      <w:r>
        <w:rPr>
          <w:rFonts w:hint="eastAsia" w:ascii="Times New Roman" w:hAnsi="Times New Roman" w:eastAsia="宋体" w:cs="Times New Roman"/>
          <w:color w:val="000000"/>
          <w:kern w:val="2"/>
          <w:sz w:val="26"/>
          <w:szCs w:val="24"/>
          <w:lang w:val="en-US" w:eastAsia="zh-CN" w:bidi="ar-SA"/>
        </w:rPr>
        <w:t>遴</w:t>
      </w:r>
      <w:r>
        <w:rPr>
          <w:rFonts w:hint="default" w:ascii="Times New Roman" w:hAnsi="Times New Roman" w:eastAsia="宋体" w:cs="Times New Roman"/>
          <w:color w:val="000000"/>
          <w:kern w:val="2"/>
          <w:sz w:val="26"/>
          <w:szCs w:val="24"/>
          <w:lang w:val="en-US" w:eastAsia="zh-CN" w:bidi="ar-SA"/>
        </w:rPr>
        <w:t>选的唯一依据。</w:t>
      </w:r>
    </w:p>
    <w:p w14:paraId="4B0149B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4.</w:t>
      </w:r>
      <w:r>
        <w:rPr>
          <w:rFonts w:hint="eastAsia" w:ascii="Times New Roman" w:hAnsi="Times New Roman" w:eastAsia="宋体" w:cs="Times New Roman"/>
          <w:color w:val="000000"/>
          <w:kern w:val="2"/>
          <w:sz w:val="26"/>
          <w:szCs w:val="24"/>
          <w:lang w:val="en-US" w:eastAsia="zh-CN" w:bidi="ar-SA"/>
        </w:rPr>
        <w:t>遴</w:t>
      </w:r>
      <w:r>
        <w:rPr>
          <w:rFonts w:hint="default" w:ascii="Times New Roman" w:hAnsi="Times New Roman" w:eastAsia="宋体" w:cs="Times New Roman"/>
          <w:color w:val="000000"/>
          <w:kern w:val="2"/>
          <w:sz w:val="26"/>
          <w:szCs w:val="24"/>
          <w:lang w:val="en-US" w:eastAsia="zh-CN" w:bidi="ar-SA"/>
        </w:rPr>
        <w:t>选响应方的比选响应文件均不退回，且不对未成交人作未成交解释。</w:t>
      </w:r>
      <w:r>
        <w:rPr>
          <w:rFonts w:hint="eastAsia" w:ascii="Times New Roman" w:hAnsi="Times New Roman" w:eastAsia="宋体" w:cs="Times New Roman"/>
          <w:color w:val="000000"/>
          <w:kern w:val="2"/>
          <w:sz w:val="26"/>
          <w:szCs w:val="24"/>
          <w:lang w:val="en-US" w:eastAsia="zh-CN" w:bidi="ar-SA"/>
        </w:rPr>
        <w:t>遴</w:t>
      </w:r>
      <w:r>
        <w:rPr>
          <w:rFonts w:hint="default" w:ascii="Times New Roman" w:hAnsi="Times New Roman" w:eastAsia="宋体" w:cs="Times New Roman"/>
          <w:color w:val="000000"/>
          <w:kern w:val="2"/>
          <w:sz w:val="26"/>
          <w:szCs w:val="24"/>
          <w:lang w:val="en-US" w:eastAsia="zh-CN" w:bidi="ar-SA"/>
        </w:rPr>
        <w:t>选响应方在比选过程中产生的一切费用，均由</w:t>
      </w:r>
      <w:r>
        <w:rPr>
          <w:rFonts w:hint="eastAsia" w:ascii="Times New Roman" w:hAnsi="Times New Roman" w:eastAsia="宋体" w:cs="Times New Roman"/>
          <w:color w:val="000000"/>
          <w:kern w:val="2"/>
          <w:sz w:val="26"/>
          <w:szCs w:val="24"/>
          <w:lang w:val="en-US" w:eastAsia="zh-CN" w:bidi="ar-SA"/>
        </w:rPr>
        <w:t>遴</w:t>
      </w:r>
      <w:r>
        <w:rPr>
          <w:rFonts w:hint="default" w:ascii="Times New Roman" w:hAnsi="Times New Roman" w:eastAsia="宋体" w:cs="Times New Roman"/>
          <w:color w:val="000000"/>
          <w:kern w:val="2"/>
          <w:sz w:val="26"/>
          <w:szCs w:val="24"/>
          <w:lang w:val="en-US" w:eastAsia="zh-CN" w:bidi="ar-SA"/>
        </w:rPr>
        <w:t>选响应方自己承担。</w:t>
      </w:r>
    </w:p>
    <w:p w14:paraId="17A65E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2"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b/>
          <w:bCs/>
          <w:color w:val="000000"/>
          <w:kern w:val="2"/>
          <w:sz w:val="26"/>
          <w:szCs w:val="24"/>
          <w:lang w:val="en-US" w:eastAsia="zh-CN" w:bidi="ar-SA"/>
        </w:rPr>
        <w:t>四、投标单位有下列情况之一的，其投标将被拒绝或作无效投标处理</w:t>
      </w:r>
      <w:r>
        <w:rPr>
          <w:rFonts w:hint="default" w:ascii="Times New Roman" w:hAnsi="Times New Roman" w:eastAsia="宋体" w:cs="Times New Roman"/>
          <w:color w:val="000000"/>
          <w:kern w:val="2"/>
          <w:sz w:val="26"/>
          <w:szCs w:val="24"/>
          <w:lang w:val="en-US" w:eastAsia="zh-CN" w:bidi="ar-SA"/>
        </w:rPr>
        <w:t>：</w:t>
      </w:r>
    </w:p>
    <w:p w14:paraId="3305CC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1.未在规定时间内将投标书送达规定地点的。</w:t>
      </w:r>
    </w:p>
    <w:p w14:paraId="75C8C96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2.投标书未按规定密封或未按要求加盖公章或投标文件签署不符合要求的。</w:t>
      </w:r>
    </w:p>
    <w:p w14:paraId="3CFDAC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3.投标文件无法人代表签字或签字无法人代表有效委托的。</w:t>
      </w:r>
    </w:p>
    <w:p w14:paraId="230CA0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4.投标单位不符合投标单位资格要求的。</w:t>
      </w:r>
    </w:p>
    <w:p w14:paraId="5523EC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5.投标单位不符合产品报价要求的。</w:t>
      </w:r>
    </w:p>
    <w:p w14:paraId="278EDEB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r>
        <w:rPr>
          <w:rFonts w:hint="default" w:ascii="Times New Roman" w:hAnsi="Times New Roman" w:eastAsia="宋体" w:cs="Times New Roman"/>
          <w:color w:val="000000"/>
          <w:kern w:val="2"/>
          <w:sz w:val="26"/>
          <w:szCs w:val="24"/>
          <w:lang w:val="en-US" w:eastAsia="zh-CN" w:bidi="ar-SA"/>
        </w:rPr>
        <w:t>6.投标文件中提供伪造、虚假材料的。</w:t>
      </w:r>
    </w:p>
    <w:p w14:paraId="7CA8A8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ascii="Times New Roman" w:hAnsi="Times New Roman" w:eastAsia="宋体" w:cs="Times New Roman"/>
          <w:color w:val="000000"/>
          <w:kern w:val="2"/>
          <w:sz w:val="26"/>
          <w:szCs w:val="24"/>
          <w:lang w:val="en-US" w:eastAsia="zh-CN" w:bidi="ar-SA"/>
        </w:rPr>
      </w:pPr>
    </w:p>
    <w:p w14:paraId="4749B258">
      <w:pPr>
        <w:spacing w:before="0" w:after="0" w:line="263" w:lineRule="auto"/>
        <w:jc w:val="center"/>
        <w:rPr>
          <w:rFonts w:hint="default" w:ascii="Times New Roman" w:hAnsi="Times New Roman" w:cs="Times New Roman"/>
          <w:sz w:val="28"/>
        </w:rPr>
      </w:pPr>
      <w:r>
        <w:rPr>
          <w:rFonts w:hint="default" w:ascii="Times New Roman" w:hAnsi="Times New Roman" w:eastAsia="Calibri" w:cs="Times New Roman"/>
          <w:b/>
          <w:color w:val="000000"/>
          <w:sz w:val="28"/>
        </w:rPr>
        <w:t>XXXX</w:t>
      </w:r>
      <w:r>
        <w:rPr>
          <w:rFonts w:hint="default" w:ascii="Times New Roman" w:hAnsi="Times New Roman" w:eastAsia="宋体" w:cs="Times New Roman"/>
          <w:b/>
          <w:color w:val="000000"/>
          <w:sz w:val="28"/>
        </w:rPr>
        <w:t>公司医用耗材</w:t>
      </w:r>
      <w:r>
        <w:rPr>
          <w:rFonts w:hint="eastAsia" w:ascii="Times New Roman" w:hAnsi="Times New Roman" w:eastAsia="宋体" w:cs="Times New Roman"/>
          <w:b/>
          <w:color w:val="000000"/>
          <w:sz w:val="28"/>
          <w:lang w:eastAsia="zh-CN"/>
        </w:rPr>
        <w:t>、检验试剂</w:t>
      </w:r>
      <w:r>
        <w:rPr>
          <w:rFonts w:hint="default" w:ascii="Times New Roman" w:hAnsi="Times New Roman" w:eastAsia="宋体" w:cs="Times New Roman"/>
          <w:b/>
          <w:color w:val="000000"/>
          <w:sz w:val="28"/>
        </w:rPr>
        <w:t>供货目录表</w:t>
      </w:r>
    </w:p>
    <w:p w14:paraId="7A1627BE">
      <w:pPr>
        <w:spacing w:before="0" w:after="0" w:line="240" w:lineRule="auto"/>
        <w:ind w:firstLine="0"/>
        <w:jc w:val="both"/>
        <w:rPr>
          <w:rFonts w:hint="default" w:ascii="Times New Roman" w:hAnsi="Times New Roman" w:eastAsia="宋体" w:cs="Times New Roman"/>
          <w:color w:val="000000"/>
          <w:sz w:val="21"/>
        </w:rPr>
      </w:pPr>
    </w:p>
    <w:tbl>
      <w:tblPr>
        <w:tblStyle w:val="5"/>
        <w:tblpPr w:leftFromText="180" w:rightFromText="180" w:vertAnchor="text" w:horzAnchor="page" w:tblpX="1231" w:tblpY="319"/>
        <w:tblOverlap w:val="never"/>
        <w:tblW w:w="846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720"/>
        <w:gridCol w:w="880"/>
        <w:gridCol w:w="520"/>
        <w:gridCol w:w="520"/>
        <w:gridCol w:w="593"/>
        <w:gridCol w:w="707"/>
        <w:gridCol w:w="1120"/>
        <w:gridCol w:w="700"/>
        <w:gridCol w:w="700"/>
        <w:gridCol w:w="720"/>
        <w:gridCol w:w="720"/>
        <w:gridCol w:w="560"/>
      </w:tblGrid>
      <w:tr w14:paraId="0E549D0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1749"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45B4645D">
            <w:pPr>
              <w:spacing w:before="0" w:after="0" w:line="191" w:lineRule="auto"/>
              <w:jc w:val="center"/>
              <w:rPr>
                <w:rFonts w:hint="default" w:ascii="Times New Roman" w:hAnsi="Times New Roman" w:cs="Times New Roman"/>
                <w:sz w:val="21"/>
              </w:rPr>
            </w:pPr>
            <w:r>
              <w:rPr>
                <w:rFonts w:hint="default" w:ascii="Times New Roman" w:hAnsi="Times New Roman" w:eastAsia="宋体" w:cs="Times New Roman"/>
                <w:color w:val="000000"/>
                <w:sz w:val="21"/>
              </w:rPr>
              <w:t>序号</w:t>
            </w:r>
          </w:p>
        </w:tc>
        <w:tc>
          <w:tcPr>
            <w:tcW w:w="880" w:type="dxa"/>
            <w:tcBorders>
              <w:top w:val="single" w:color="000000" w:sz="4" w:space="0"/>
              <w:left w:val="single" w:color="000000" w:sz="4" w:space="0"/>
              <w:bottom w:val="single" w:color="000000" w:sz="4" w:space="0"/>
              <w:right w:val="single" w:color="000000" w:sz="4" w:space="0"/>
            </w:tcBorders>
            <w:vAlign w:val="top"/>
          </w:tcPr>
          <w:p w14:paraId="3B259622">
            <w:pPr>
              <w:spacing w:before="0" w:after="0" w:line="191" w:lineRule="auto"/>
              <w:jc w:val="center"/>
              <w:rPr>
                <w:rFonts w:hint="default" w:ascii="Times New Roman" w:hAnsi="Times New Roman" w:cs="Times New Roman"/>
                <w:sz w:val="21"/>
                <w:lang w:val="en-US"/>
              </w:rPr>
            </w:pPr>
            <w:r>
              <w:rPr>
                <w:rFonts w:hint="eastAsia" w:ascii="Times New Roman" w:hAnsi="Times New Roman" w:eastAsia="宋体" w:cs="Times New Roman"/>
                <w:color w:val="000000"/>
                <w:sz w:val="20"/>
                <w:lang w:val="en-US" w:eastAsia="zh-CN"/>
              </w:rPr>
              <w:t>是否挂网</w:t>
            </w:r>
          </w:p>
        </w:tc>
        <w:tc>
          <w:tcPr>
            <w:tcW w:w="520" w:type="dxa"/>
            <w:tcBorders>
              <w:top w:val="single" w:color="000000" w:sz="4" w:space="0"/>
              <w:left w:val="single" w:color="000000" w:sz="4" w:space="0"/>
              <w:bottom w:val="single" w:color="000000" w:sz="4" w:space="0"/>
              <w:right w:val="single" w:color="000000" w:sz="4" w:space="0"/>
            </w:tcBorders>
            <w:vAlign w:val="top"/>
          </w:tcPr>
          <w:p w14:paraId="3F98077C">
            <w:pPr>
              <w:spacing w:before="0" w:after="0" w:line="191" w:lineRule="auto"/>
              <w:jc w:val="center"/>
              <w:rPr>
                <w:rFonts w:hint="default" w:ascii="Times New Roman" w:hAnsi="Times New Roman" w:cs="Times New Roman" w:eastAsiaTheme="minorEastAsia"/>
                <w:sz w:val="21"/>
                <w:lang w:val="en-US" w:eastAsia="zh-CN"/>
              </w:rPr>
            </w:pPr>
            <w:r>
              <w:rPr>
                <w:rFonts w:hint="eastAsia" w:ascii="Times New Roman" w:hAnsi="Times New Roman" w:eastAsia="宋体" w:cs="Times New Roman"/>
                <w:color w:val="000000"/>
                <w:sz w:val="21"/>
                <w:lang w:val="en-US" w:eastAsia="zh-CN"/>
              </w:rPr>
              <w:t>产品名称</w:t>
            </w:r>
          </w:p>
        </w:tc>
        <w:tc>
          <w:tcPr>
            <w:tcW w:w="520" w:type="dxa"/>
            <w:tcBorders>
              <w:top w:val="single" w:color="000000" w:sz="4" w:space="0"/>
              <w:left w:val="single" w:color="000000" w:sz="4" w:space="0"/>
              <w:bottom w:val="single" w:color="000000" w:sz="4" w:space="0"/>
              <w:right w:val="single" w:color="000000" w:sz="4" w:space="0"/>
            </w:tcBorders>
            <w:vAlign w:val="top"/>
          </w:tcPr>
          <w:p w14:paraId="28D98499">
            <w:pPr>
              <w:spacing w:before="0" w:after="0" w:line="191" w:lineRule="auto"/>
              <w:jc w:val="center"/>
              <w:rPr>
                <w:rFonts w:hint="eastAsia" w:ascii="Times New Roman" w:hAnsi="Times New Roman" w:cs="Times New Roman" w:eastAsiaTheme="minorEastAsia"/>
                <w:sz w:val="21"/>
                <w:lang w:eastAsia="zh-CN"/>
              </w:rPr>
            </w:pPr>
            <w:r>
              <w:rPr>
                <w:rFonts w:hint="eastAsia" w:ascii="Times New Roman" w:hAnsi="Times New Roman" w:eastAsia="宋体" w:cs="Times New Roman"/>
                <w:color w:val="000000"/>
                <w:sz w:val="21"/>
                <w:lang w:val="en-US" w:eastAsia="zh-CN"/>
              </w:rPr>
              <w:t>医保编码（27位）</w:t>
            </w:r>
          </w:p>
        </w:tc>
        <w:tc>
          <w:tcPr>
            <w:tcW w:w="593" w:type="dxa"/>
            <w:tcBorders>
              <w:top w:val="single" w:color="000000" w:sz="4" w:space="0"/>
              <w:left w:val="single" w:color="000000" w:sz="4" w:space="0"/>
              <w:bottom w:val="single" w:color="000000" w:sz="4" w:space="0"/>
              <w:right w:val="single" w:color="000000" w:sz="4" w:space="0"/>
            </w:tcBorders>
            <w:vAlign w:val="top"/>
          </w:tcPr>
          <w:p w14:paraId="78E32913">
            <w:pPr>
              <w:spacing w:before="280" w:after="0" w:line="383" w:lineRule="auto"/>
              <w:jc w:val="center"/>
              <w:rPr>
                <w:rFonts w:hint="default" w:ascii="Times New Roman" w:hAnsi="Times New Roman" w:cs="Times New Roman" w:eastAsiaTheme="minorEastAsia"/>
                <w:sz w:val="19"/>
                <w:lang w:val="en-US" w:eastAsia="zh-CN"/>
              </w:rPr>
            </w:pPr>
            <w:r>
              <w:rPr>
                <w:rFonts w:hint="eastAsia" w:ascii="Times New Roman" w:hAnsi="Times New Roman" w:cs="Times New Roman"/>
                <w:sz w:val="19"/>
                <w:lang w:val="en-US" w:eastAsia="zh-CN"/>
              </w:rPr>
              <w:t>注册证编号</w:t>
            </w:r>
          </w:p>
        </w:tc>
        <w:tc>
          <w:tcPr>
            <w:tcW w:w="707" w:type="dxa"/>
            <w:tcBorders>
              <w:top w:val="single" w:color="000000" w:sz="4" w:space="0"/>
              <w:left w:val="single" w:color="000000" w:sz="4" w:space="0"/>
              <w:bottom w:val="single" w:color="000000" w:sz="4" w:space="0"/>
              <w:right w:val="single" w:color="000000" w:sz="4" w:space="0"/>
            </w:tcBorders>
            <w:vAlign w:val="top"/>
          </w:tcPr>
          <w:p w14:paraId="21182E31">
            <w:pPr>
              <w:spacing w:before="124" w:after="0" w:line="335" w:lineRule="auto"/>
              <w:jc w:val="center"/>
              <w:rPr>
                <w:rFonts w:hint="eastAsia" w:ascii="Times New Roman" w:hAnsi="Times New Roman" w:cs="Times New Roman" w:eastAsiaTheme="minorEastAsia"/>
                <w:sz w:val="13"/>
                <w:lang w:eastAsia="zh-CN"/>
              </w:rPr>
            </w:pPr>
            <w:r>
              <w:rPr>
                <w:rFonts w:hint="eastAsia" w:ascii="Times New Roman" w:hAnsi="Times New Roman" w:eastAsia="宋体" w:cs="Times New Roman"/>
                <w:color w:val="000000"/>
                <w:sz w:val="19"/>
                <w:lang w:val="en-US" w:eastAsia="zh-CN"/>
              </w:rPr>
              <w:t>规格</w:t>
            </w:r>
          </w:p>
        </w:tc>
        <w:tc>
          <w:tcPr>
            <w:tcW w:w="1120" w:type="dxa"/>
            <w:tcBorders>
              <w:top w:val="single" w:color="000000" w:sz="4" w:space="0"/>
              <w:left w:val="single" w:color="000000" w:sz="4" w:space="0"/>
              <w:bottom w:val="single" w:color="000000" w:sz="4" w:space="0"/>
              <w:right w:val="single" w:color="000000" w:sz="4" w:space="0"/>
            </w:tcBorders>
            <w:vAlign w:val="top"/>
          </w:tcPr>
          <w:p w14:paraId="1D2A1C05">
            <w:pPr>
              <w:spacing w:before="124" w:after="0" w:line="335" w:lineRule="auto"/>
              <w:jc w:val="center"/>
              <w:rPr>
                <w:rFonts w:hint="default" w:ascii="Times New Roman" w:hAnsi="Times New Roman" w:cs="Times New Roman" w:eastAsiaTheme="minorEastAsia"/>
                <w:sz w:val="13"/>
                <w:lang w:val="en-US" w:eastAsia="zh-CN"/>
              </w:rPr>
            </w:pPr>
            <w:r>
              <w:rPr>
                <w:rFonts w:hint="eastAsia" w:ascii="Times New Roman" w:hAnsi="Times New Roman" w:cs="Times New Roman"/>
                <w:sz w:val="18"/>
                <w:szCs w:val="18"/>
                <w:lang w:val="en-US" w:eastAsia="zh-CN"/>
              </w:rPr>
              <w:t>单位</w:t>
            </w:r>
          </w:p>
        </w:tc>
        <w:tc>
          <w:tcPr>
            <w:tcW w:w="700" w:type="dxa"/>
            <w:tcBorders>
              <w:top w:val="single" w:color="000000" w:sz="4" w:space="0"/>
              <w:left w:val="single" w:color="000000" w:sz="4" w:space="0"/>
              <w:bottom w:val="single" w:color="000000" w:sz="4" w:space="0"/>
              <w:right w:val="single" w:color="000000" w:sz="4" w:space="0"/>
            </w:tcBorders>
            <w:vAlign w:val="top"/>
          </w:tcPr>
          <w:p w14:paraId="03D926BF">
            <w:pPr>
              <w:spacing w:before="124" w:after="0" w:line="335" w:lineRule="auto"/>
              <w:jc w:val="center"/>
              <w:rPr>
                <w:rFonts w:hint="default" w:ascii="Times New Roman" w:hAnsi="Times New Roman" w:cs="Times New Roman" w:eastAsiaTheme="minorEastAsia"/>
                <w:sz w:val="13"/>
                <w:lang w:val="en-US" w:eastAsia="zh-CN"/>
              </w:rPr>
            </w:pPr>
            <w:r>
              <w:rPr>
                <w:rFonts w:hint="eastAsia" w:ascii="Times New Roman" w:hAnsi="Times New Roman" w:eastAsia="宋体" w:cs="Times New Roman"/>
                <w:color w:val="000000"/>
                <w:sz w:val="21"/>
                <w:lang w:val="en-US" w:eastAsia="zh-CN"/>
              </w:rPr>
              <w:t>生产厂家</w:t>
            </w:r>
          </w:p>
        </w:tc>
        <w:tc>
          <w:tcPr>
            <w:tcW w:w="700" w:type="dxa"/>
            <w:tcBorders>
              <w:top w:val="single" w:color="000000" w:sz="4" w:space="0"/>
              <w:left w:val="single" w:color="000000" w:sz="4" w:space="0"/>
              <w:bottom w:val="single" w:color="000000" w:sz="4" w:space="0"/>
              <w:right w:val="single" w:color="000000" w:sz="4" w:space="0"/>
            </w:tcBorders>
            <w:vAlign w:val="top"/>
          </w:tcPr>
          <w:p w14:paraId="27AA5161">
            <w:pPr>
              <w:spacing w:before="0" w:after="0" w:line="191" w:lineRule="auto"/>
              <w:jc w:val="center"/>
              <w:rPr>
                <w:rFonts w:hint="default" w:ascii="Times New Roman" w:hAnsi="Times New Roman" w:cs="Times New Roman" w:eastAsiaTheme="minorEastAsia"/>
                <w:sz w:val="21"/>
                <w:lang w:val="en-US" w:eastAsia="zh-CN"/>
              </w:rPr>
            </w:pPr>
            <w:r>
              <w:rPr>
                <w:rFonts w:hint="eastAsia" w:ascii="Times New Roman" w:hAnsi="Times New Roman" w:eastAsia="宋体" w:cs="Times New Roman"/>
                <w:color w:val="000000"/>
                <w:sz w:val="21"/>
                <w:lang w:val="en-US" w:eastAsia="zh-CN"/>
              </w:rPr>
              <w:t>挂网价格</w:t>
            </w:r>
          </w:p>
        </w:tc>
        <w:tc>
          <w:tcPr>
            <w:tcW w:w="720" w:type="dxa"/>
            <w:tcBorders>
              <w:top w:val="single" w:color="000000" w:sz="4" w:space="0"/>
              <w:left w:val="single" w:color="000000" w:sz="4" w:space="0"/>
              <w:bottom w:val="single" w:color="000000" w:sz="4" w:space="0"/>
              <w:right w:val="single" w:color="000000" w:sz="4" w:space="0"/>
            </w:tcBorders>
            <w:vAlign w:val="top"/>
          </w:tcPr>
          <w:p w14:paraId="55FFF114">
            <w:pPr>
              <w:spacing w:before="0" w:after="0" w:line="263" w:lineRule="auto"/>
              <w:jc w:val="center"/>
              <w:rPr>
                <w:rFonts w:hint="default" w:ascii="Times New Roman" w:hAnsi="Times New Roman" w:cs="Times New Roman"/>
                <w:sz w:val="21"/>
              </w:rPr>
            </w:pPr>
            <w:r>
              <w:rPr>
                <w:rFonts w:hint="eastAsia" w:ascii="Times New Roman" w:hAnsi="Times New Roman" w:eastAsia="宋体" w:cs="Times New Roman"/>
                <w:color w:val="000000"/>
                <w:sz w:val="21"/>
                <w:lang w:val="en-US" w:eastAsia="zh-CN"/>
              </w:rPr>
              <w:t>最终供货价格</w:t>
            </w:r>
          </w:p>
        </w:tc>
        <w:tc>
          <w:tcPr>
            <w:tcW w:w="720" w:type="dxa"/>
            <w:tcBorders>
              <w:top w:val="single" w:color="000000" w:sz="4" w:space="0"/>
              <w:left w:val="single" w:color="000000" w:sz="4" w:space="0"/>
              <w:bottom w:val="single" w:color="000000" w:sz="4" w:space="0"/>
              <w:right w:val="single" w:color="000000" w:sz="4" w:space="0"/>
            </w:tcBorders>
            <w:vAlign w:val="top"/>
          </w:tcPr>
          <w:p w14:paraId="212F6E51">
            <w:pPr>
              <w:spacing w:before="57" w:after="0" w:line="336" w:lineRule="auto"/>
              <w:jc w:val="center"/>
              <w:rPr>
                <w:rFonts w:hint="default" w:ascii="Times New Roman" w:hAnsi="Times New Roman" w:cs="Times New Roman" w:eastAsiaTheme="minorEastAsia"/>
                <w:sz w:val="21"/>
                <w:lang w:val="en-US" w:eastAsia="zh-CN"/>
              </w:rPr>
            </w:pPr>
            <w:r>
              <w:rPr>
                <w:rFonts w:hint="eastAsia" w:ascii="Times New Roman" w:hAnsi="Times New Roman" w:cs="Times New Roman"/>
                <w:sz w:val="21"/>
                <w:lang w:val="en-US" w:eastAsia="zh-CN"/>
              </w:rPr>
              <w:t>配送企业</w:t>
            </w:r>
          </w:p>
        </w:tc>
        <w:tc>
          <w:tcPr>
            <w:tcW w:w="560" w:type="dxa"/>
            <w:tcBorders>
              <w:top w:val="single" w:color="000000" w:sz="4" w:space="0"/>
              <w:left w:val="single" w:color="000000" w:sz="4" w:space="0"/>
              <w:bottom w:val="single" w:color="000000" w:sz="4" w:space="0"/>
              <w:right w:val="single" w:color="000000" w:sz="4" w:space="0"/>
            </w:tcBorders>
            <w:vAlign w:val="top"/>
          </w:tcPr>
          <w:p w14:paraId="7A5F8ADF">
            <w:pPr>
              <w:spacing w:before="0" w:after="0" w:line="191" w:lineRule="auto"/>
              <w:jc w:val="center"/>
              <w:rPr>
                <w:rFonts w:hint="default" w:ascii="Times New Roman" w:hAnsi="Times New Roman" w:eastAsia="宋体" w:cs="Times New Roman"/>
                <w:color w:val="000000" w:themeColor="text1"/>
                <w:sz w:val="21"/>
                <w:lang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备注</w:t>
            </w:r>
          </w:p>
        </w:tc>
      </w:tr>
      <w:tr w14:paraId="3316EE9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6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48AC463F">
            <w:pPr>
              <w:spacing w:before="0" w:after="0" w:line="244" w:lineRule="auto"/>
              <w:jc w:val="center"/>
              <w:rPr>
                <w:rFonts w:hint="default" w:ascii="Times New Roman" w:hAnsi="Times New Roman" w:eastAsia="宋体" w:cs="Times New Roman"/>
                <w:color w:val="000000"/>
                <w:sz w:val="21"/>
              </w:rPr>
            </w:pPr>
            <w:r>
              <w:rPr>
                <w:rFonts w:hint="default" w:ascii="Times New Roman" w:hAnsi="Times New Roman" w:eastAsia="Calibri" w:cs="Times New Roman"/>
                <w:color w:val="000000"/>
                <w:sz w:val="21"/>
              </w:rPr>
              <w:t>1</w:t>
            </w:r>
          </w:p>
        </w:tc>
        <w:tc>
          <w:tcPr>
            <w:tcW w:w="880" w:type="dxa"/>
            <w:tcBorders>
              <w:top w:val="single" w:color="000000" w:sz="4" w:space="0"/>
              <w:left w:val="single" w:color="000000" w:sz="4" w:space="0"/>
              <w:bottom w:val="single" w:color="000000" w:sz="4" w:space="0"/>
              <w:right w:val="single" w:color="000000" w:sz="4" w:space="0"/>
            </w:tcBorders>
            <w:vAlign w:val="center"/>
          </w:tcPr>
          <w:p w14:paraId="1BF3DAEB">
            <w:pPr>
              <w:rPr>
                <w:rFonts w:hint="eastAsia" w:ascii="Times New Roman" w:hAnsi="Times New Roman" w:eastAsia="宋体" w:cs="Times New Roman"/>
                <w:color w:val="000000"/>
                <w:sz w:val="20"/>
                <w:lang w:val="en-US" w:eastAsia="zh-CN"/>
              </w:rPr>
            </w:pPr>
          </w:p>
        </w:tc>
        <w:tc>
          <w:tcPr>
            <w:tcW w:w="520" w:type="dxa"/>
            <w:tcBorders>
              <w:top w:val="single" w:color="000000" w:sz="4" w:space="0"/>
              <w:left w:val="single" w:color="000000" w:sz="4" w:space="0"/>
              <w:bottom w:val="single" w:color="000000" w:sz="4" w:space="0"/>
              <w:right w:val="single" w:color="000000" w:sz="4" w:space="0"/>
            </w:tcBorders>
            <w:vAlign w:val="center"/>
          </w:tcPr>
          <w:p w14:paraId="2299632C">
            <w:pPr>
              <w:rPr>
                <w:rFonts w:hint="eastAsia" w:ascii="Times New Roman" w:hAnsi="Times New Roman" w:eastAsia="宋体" w:cs="Times New Roman"/>
                <w:color w:val="000000"/>
                <w:sz w:val="21"/>
                <w:lang w:val="en-US" w:eastAsia="zh-CN"/>
              </w:rPr>
            </w:pPr>
          </w:p>
        </w:tc>
        <w:tc>
          <w:tcPr>
            <w:tcW w:w="520" w:type="dxa"/>
            <w:tcBorders>
              <w:top w:val="single" w:color="000000" w:sz="4" w:space="0"/>
              <w:left w:val="single" w:color="000000" w:sz="4" w:space="0"/>
              <w:bottom w:val="single" w:color="000000" w:sz="4" w:space="0"/>
              <w:right w:val="single" w:color="000000" w:sz="4" w:space="0"/>
            </w:tcBorders>
            <w:vAlign w:val="center"/>
          </w:tcPr>
          <w:p w14:paraId="2A6C927C">
            <w:pPr>
              <w:rPr>
                <w:rFonts w:hint="eastAsia" w:ascii="Times New Roman" w:hAnsi="Times New Roman" w:eastAsia="宋体" w:cs="Times New Roman"/>
                <w:color w:val="000000"/>
                <w:sz w:val="21"/>
                <w:lang w:val="en-US" w:eastAsia="zh-CN"/>
              </w:rPr>
            </w:pPr>
          </w:p>
        </w:tc>
        <w:tc>
          <w:tcPr>
            <w:tcW w:w="593" w:type="dxa"/>
            <w:tcBorders>
              <w:top w:val="single" w:color="000000" w:sz="4" w:space="0"/>
              <w:left w:val="single" w:color="000000" w:sz="4" w:space="0"/>
              <w:bottom w:val="single" w:color="000000" w:sz="4" w:space="0"/>
              <w:right w:val="single" w:color="000000" w:sz="4" w:space="0"/>
            </w:tcBorders>
            <w:vAlign w:val="center"/>
          </w:tcPr>
          <w:p w14:paraId="238C1A74">
            <w:pPr>
              <w:rPr>
                <w:rFonts w:hint="default" w:ascii="Times New Roman" w:hAnsi="Times New Roman" w:cs="Times New Roman" w:eastAsiaTheme="minorEastAsia"/>
                <w:sz w:val="19"/>
                <w:lang w:val="en-US" w:eastAsia="zh-CN"/>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38B1C669">
            <w:pPr>
              <w:rPr>
                <w:rFonts w:hint="default" w:ascii="Times New Roman" w:hAnsi="Times New Roman" w:eastAsia="宋体" w:cs="Times New Roman"/>
                <w:color w:val="000000"/>
                <w:sz w:val="19"/>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3EE2FC02">
            <w:pPr>
              <w:rPr>
                <w:rFonts w:hint="default" w:ascii="Times New Roman" w:hAnsi="Times New Roman" w:eastAsia="宋体" w:cs="Times New Roman"/>
                <w:color w:val="000000"/>
                <w:sz w:val="19"/>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7D5F31D3">
            <w:pPr>
              <w:rPr>
                <w:rFonts w:hint="default" w:ascii="Times New Roman" w:hAnsi="Times New Roman" w:eastAsia="宋体" w:cs="Times New Roman"/>
                <w:color w:val="000000"/>
                <w:sz w:val="19"/>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7C944F7F">
            <w:pPr>
              <w:rPr>
                <w:rFonts w:hint="default" w:ascii="Times New Roman" w:hAnsi="Times New Roman" w:eastAsia="宋体" w:cs="Times New Roman"/>
                <w:color w:val="000000"/>
                <w:sz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0E03A1B">
            <w:pPr>
              <w:rPr>
                <w:rFonts w:hint="default" w:ascii="Times New Roman" w:hAnsi="Times New Roman" w:eastAsia="宋体" w:cs="Times New Roman"/>
                <w:color w:val="000000"/>
                <w:sz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84AE0BC">
            <w:pPr>
              <w:rPr>
                <w:rFonts w:hint="default" w:ascii="Times New Roman" w:hAnsi="Times New Roman" w:eastAsia="宋体" w:cs="Times New Roman"/>
                <w:color w:val="000000"/>
                <w:sz w:val="21"/>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0326CD6E">
            <w:pPr>
              <w:rPr>
                <w:rFonts w:hint="default" w:ascii="Times New Roman" w:hAnsi="Times New Roman" w:eastAsia="宋体" w:cs="Times New Roman"/>
                <w:color w:val="0000FF"/>
                <w:sz w:val="21"/>
                <w:lang w:eastAsia="zh-CN"/>
              </w:rPr>
            </w:pPr>
          </w:p>
        </w:tc>
      </w:tr>
      <w:tr w14:paraId="66017AF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5B8EBED2">
            <w:pPr>
              <w:spacing w:before="0" w:after="0" w:line="244" w:lineRule="auto"/>
              <w:jc w:val="center"/>
              <w:rPr>
                <w:rFonts w:hint="default" w:ascii="Times New Roman" w:hAnsi="Times New Roman" w:cs="Times New Roman"/>
                <w:sz w:val="21"/>
              </w:rPr>
            </w:pPr>
            <w:r>
              <w:rPr>
                <w:rFonts w:hint="default" w:ascii="Times New Roman" w:hAnsi="Times New Roman" w:eastAsia="Calibri" w:cs="Times New Roman"/>
                <w:color w:val="000000"/>
                <w:sz w:val="21"/>
              </w:rPr>
              <w:t>2</w:t>
            </w:r>
          </w:p>
        </w:tc>
        <w:tc>
          <w:tcPr>
            <w:tcW w:w="880" w:type="dxa"/>
            <w:tcBorders>
              <w:top w:val="single" w:color="000000" w:sz="4" w:space="0"/>
              <w:left w:val="single" w:color="000000" w:sz="4" w:space="0"/>
              <w:bottom w:val="single" w:color="000000" w:sz="4" w:space="0"/>
              <w:right w:val="single" w:color="000000" w:sz="4" w:space="0"/>
            </w:tcBorders>
            <w:vAlign w:val="center"/>
          </w:tcPr>
          <w:p w14:paraId="4E6D7DA1">
            <w:pPr>
              <w:rPr>
                <w:rFonts w:hint="default" w:ascii="Times New Roman" w:hAnsi="Times New Roman" w:cs="Times New Roman"/>
              </w:rPr>
            </w:pPr>
          </w:p>
        </w:tc>
        <w:tc>
          <w:tcPr>
            <w:tcW w:w="520" w:type="dxa"/>
            <w:tcBorders>
              <w:top w:val="single" w:color="000000" w:sz="4" w:space="0"/>
              <w:left w:val="single" w:color="000000" w:sz="4" w:space="0"/>
              <w:bottom w:val="single" w:color="000000" w:sz="4" w:space="0"/>
              <w:right w:val="single" w:color="000000" w:sz="4" w:space="0"/>
            </w:tcBorders>
            <w:vAlign w:val="center"/>
          </w:tcPr>
          <w:p w14:paraId="3C425871">
            <w:pPr>
              <w:rPr>
                <w:rFonts w:hint="default" w:ascii="Times New Roman" w:hAnsi="Times New Roman" w:cs="Times New Roman"/>
              </w:rPr>
            </w:pPr>
          </w:p>
        </w:tc>
        <w:tc>
          <w:tcPr>
            <w:tcW w:w="520" w:type="dxa"/>
            <w:tcBorders>
              <w:top w:val="single" w:color="000000" w:sz="4" w:space="0"/>
              <w:left w:val="single" w:color="000000" w:sz="4" w:space="0"/>
              <w:bottom w:val="single" w:color="000000" w:sz="4" w:space="0"/>
              <w:right w:val="single" w:color="000000" w:sz="4" w:space="0"/>
            </w:tcBorders>
            <w:vAlign w:val="center"/>
          </w:tcPr>
          <w:p w14:paraId="6AA78D5A">
            <w:pPr>
              <w:rPr>
                <w:rFonts w:hint="default" w:ascii="Times New Roman" w:hAnsi="Times New Roman" w:cs="Times New Roman"/>
              </w:rPr>
            </w:pPr>
          </w:p>
        </w:tc>
        <w:tc>
          <w:tcPr>
            <w:tcW w:w="593" w:type="dxa"/>
            <w:tcBorders>
              <w:top w:val="single" w:color="000000" w:sz="4" w:space="0"/>
              <w:left w:val="single" w:color="000000" w:sz="4" w:space="0"/>
              <w:bottom w:val="single" w:color="000000" w:sz="4" w:space="0"/>
              <w:right w:val="single" w:color="000000" w:sz="4" w:space="0"/>
            </w:tcBorders>
            <w:vAlign w:val="center"/>
          </w:tcPr>
          <w:p w14:paraId="7843EA7C">
            <w:pPr>
              <w:rPr>
                <w:rFonts w:hint="default" w:ascii="Times New Roman" w:hAnsi="Times New Roman" w:cs="Times New Roman"/>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3A46BEAD">
            <w:pPr>
              <w:rPr>
                <w:rFonts w:hint="default" w:ascii="Times New Roman" w:hAnsi="Times New Roman" w:cs="Times New Roman"/>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013040A8">
            <w:pPr>
              <w:rPr>
                <w:rFonts w:hint="default" w:ascii="Times New Roman" w:hAnsi="Times New Roman" w:cs="Times New Roman"/>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392935A7">
            <w:pPr>
              <w:rPr>
                <w:rFonts w:hint="default" w:ascii="Times New Roman" w:hAnsi="Times New Roman" w:cs="Times New Roman"/>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05A56A97">
            <w:pPr>
              <w:rPr>
                <w:rFonts w:hint="default" w:ascii="Times New Roman" w:hAnsi="Times New Roman" w:cs="Times New Roma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ECAEF9C">
            <w:pPr>
              <w:rPr>
                <w:rFonts w:hint="default" w:ascii="Times New Roman" w:hAnsi="Times New Roman" w:cs="Times New Roma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6989C3E">
            <w:pPr>
              <w:rPr>
                <w:rFonts w:hint="default" w:ascii="Times New Roman" w:hAnsi="Times New Roman" w:cs="Times New Roman"/>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20DFA65E">
            <w:pPr>
              <w:rPr>
                <w:rFonts w:hint="default" w:ascii="Times New Roman" w:hAnsi="Times New Roman" w:cs="Times New Roman"/>
              </w:rPr>
            </w:pPr>
          </w:p>
        </w:tc>
      </w:tr>
      <w:tr w14:paraId="200473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vAlign w:val="top"/>
          </w:tcPr>
          <w:p w14:paraId="1792E8DA">
            <w:pPr>
              <w:spacing w:before="0" w:after="0" w:line="226" w:lineRule="auto"/>
              <w:jc w:val="center"/>
              <w:rPr>
                <w:rFonts w:hint="default" w:ascii="Times New Roman" w:hAnsi="Times New Roman" w:cs="Times New Roman"/>
                <w:sz w:val="21"/>
              </w:rPr>
            </w:pPr>
            <w:r>
              <w:rPr>
                <w:rFonts w:hint="default" w:ascii="Times New Roman" w:hAnsi="Times New Roman" w:eastAsia="Calibri" w:cs="Times New Roman"/>
                <w:color w:val="000000"/>
                <w:sz w:val="21"/>
              </w:rPr>
              <w:t>3</w:t>
            </w:r>
          </w:p>
        </w:tc>
        <w:tc>
          <w:tcPr>
            <w:tcW w:w="880" w:type="dxa"/>
            <w:tcBorders>
              <w:top w:val="single" w:color="000000" w:sz="4" w:space="0"/>
              <w:left w:val="single" w:color="000000" w:sz="4" w:space="0"/>
              <w:bottom w:val="single" w:color="000000" w:sz="4" w:space="0"/>
              <w:right w:val="single" w:color="000000" w:sz="4" w:space="0"/>
            </w:tcBorders>
            <w:vAlign w:val="center"/>
          </w:tcPr>
          <w:p w14:paraId="7EFB459D">
            <w:pPr>
              <w:rPr>
                <w:rFonts w:hint="default" w:ascii="Times New Roman" w:hAnsi="Times New Roman" w:cs="Times New Roman"/>
              </w:rPr>
            </w:pPr>
          </w:p>
        </w:tc>
        <w:tc>
          <w:tcPr>
            <w:tcW w:w="520" w:type="dxa"/>
            <w:tcBorders>
              <w:top w:val="single" w:color="000000" w:sz="4" w:space="0"/>
              <w:left w:val="single" w:color="000000" w:sz="4" w:space="0"/>
              <w:bottom w:val="single" w:color="000000" w:sz="4" w:space="0"/>
              <w:right w:val="single" w:color="000000" w:sz="4" w:space="0"/>
            </w:tcBorders>
            <w:vAlign w:val="center"/>
          </w:tcPr>
          <w:p w14:paraId="577F5B94">
            <w:pPr>
              <w:rPr>
                <w:rFonts w:hint="default" w:ascii="Times New Roman" w:hAnsi="Times New Roman" w:cs="Times New Roman"/>
              </w:rPr>
            </w:pPr>
          </w:p>
        </w:tc>
        <w:tc>
          <w:tcPr>
            <w:tcW w:w="520" w:type="dxa"/>
            <w:tcBorders>
              <w:top w:val="single" w:color="000000" w:sz="4" w:space="0"/>
              <w:left w:val="single" w:color="000000" w:sz="4" w:space="0"/>
              <w:bottom w:val="single" w:color="000000" w:sz="4" w:space="0"/>
              <w:right w:val="single" w:color="000000" w:sz="4" w:space="0"/>
            </w:tcBorders>
            <w:vAlign w:val="center"/>
          </w:tcPr>
          <w:p w14:paraId="21D936F0">
            <w:pPr>
              <w:rPr>
                <w:rFonts w:hint="default" w:ascii="Times New Roman" w:hAnsi="Times New Roman" w:cs="Times New Roman"/>
              </w:rPr>
            </w:pPr>
          </w:p>
        </w:tc>
        <w:tc>
          <w:tcPr>
            <w:tcW w:w="593" w:type="dxa"/>
            <w:tcBorders>
              <w:top w:val="single" w:color="000000" w:sz="4" w:space="0"/>
              <w:left w:val="single" w:color="000000" w:sz="4" w:space="0"/>
              <w:bottom w:val="single" w:color="000000" w:sz="4" w:space="0"/>
              <w:right w:val="single" w:color="000000" w:sz="4" w:space="0"/>
            </w:tcBorders>
            <w:vAlign w:val="center"/>
          </w:tcPr>
          <w:p w14:paraId="4DD16589">
            <w:pPr>
              <w:rPr>
                <w:rFonts w:hint="default" w:ascii="Times New Roman" w:hAnsi="Times New Roman" w:cs="Times New Roman"/>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625E56D3">
            <w:pPr>
              <w:rPr>
                <w:rFonts w:hint="default" w:ascii="Times New Roman" w:hAnsi="Times New Roman" w:cs="Times New Roman"/>
              </w:rPr>
            </w:pPr>
          </w:p>
        </w:tc>
        <w:tc>
          <w:tcPr>
            <w:tcW w:w="1120" w:type="dxa"/>
            <w:tcBorders>
              <w:top w:val="single" w:color="000000" w:sz="4" w:space="0"/>
              <w:left w:val="single" w:color="000000" w:sz="4" w:space="0"/>
              <w:bottom w:val="single" w:color="000000" w:sz="4" w:space="0"/>
              <w:right w:val="single" w:color="000000" w:sz="4" w:space="0"/>
            </w:tcBorders>
            <w:vAlign w:val="center"/>
          </w:tcPr>
          <w:p w14:paraId="18BF1D68">
            <w:pPr>
              <w:rPr>
                <w:rFonts w:hint="default" w:ascii="Times New Roman" w:hAnsi="Times New Roman" w:cs="Times New Roman"/>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1BD23699">
            <w:pPr>
              <w:rPr>
                <w:rFonts w:hint="default" w:ascii="Times New Roman" w:hAnsi="Times New Roman" w:cs="Times New Roman"/>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16717A9C">
            <w:pPr>
              <w:rPr>
                <w:rFonts w:hint="default" w:ascii="Times New Roman" w:hAnsi="Times New Roman" w:cs="Times New Roma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DD41672">
            <w:pPr>
              <w:rPr>
                <w:rFonts w:hint="default" w:ascii="Times New Roman" w:hAnsi="Times New Roman" w:cs="Times New Roma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0E99A9B0">
            <w:pPr>
              <w:rPr>
                <w:rFonts w:hint="default" w:ascii="Times New Roman" w:hAnsi="Times New Roman" w:cs="Times New Roman"/>
              </w:rPr>
            </w:pPr>
          </w:p>
        </w:tc>
        <w:tc>
          <w:tcPr>
            <w:tcW w:w="560" w:type="dxa"/>
            <w:tcBorders>
              <w:top w:val="single" w:color="000000" w:sz="4" w:space="0"/>
              <w:left w:val="single" w:color="000000" w:sz="4" w:space="0"/>
              <w:bottom w:val="single" w:color="000000" w:sz="4" w:space="0"/>
              <w:right w:val="single" w:color="000000" w:sz="4" w:space="0"/>
            </w:tcBorders>
            <w:vAlign w:val="center"/>
          </w:tcPr>
          <w:p w14:paraId="5CCA68A4">
            <w:pPr>
              <w:rPr>
                <w:rFonts w:hint="default" w:ascii="Times New Roman" w:hAnsi="Times New Roman" w:cs="Times New Roman"/>
              </w:rPr>
            </w:pPr>
          </w:p>
        </w:tc>
      </w:tr>
    </w:tbl>
    <w:p w14:paraId="0BA596A2">
      <w:pPr>
        <w:spacing w:before="0" w:after="0" w:line="258" w:lineRule="auto"/>
        <w:ind w:firstLine="0"/>
        <w:jc w:val="both"/>
        <w:rPr>
          <w:rFonts w:hint="default" w:ascii="Times New Roman" w:hAnsi="Times New Roman" w:eastAsia="宋体" w:cs="Times New Roman"/>
          <w:color w:val="000000"/>
          <w:sz w:val="12"/>
          <w:lang w:eastAsia="zh-CN"/>
        </w:rPr>
      </w:pPr>
    </w:p>
    <w:p w14:paraId="41C06E2A">
      <w:pPr>
        <w:spacing w:before="0" w:after="0" w:line="211" w:lineRule="auto"/>
        <w:jc w:val="both"/>
        <w:rPr>
          <w:rFonts w:hint="default" w:ascii="Times New Roman" w:hAnsi="Times New Roman" w:eastAsia="Calibri" w:cs="Times New Roman"/>
          <w:color w:val="000000"/>
          <w:sz w:val="21"/>
        </w:rPr>
      </w:pPr>
    </w:p>
    <w:p w14:paraId="687F8C86">
      <w:pPr>
        <w:spacing w:before="0" w:after="0" w:line="211" w:lineRule="auto"/>
        <w:jc w:val="both"/>
        <w:rPr>
          <w:rFonts w:hint="default" w:ascii="Times New Roman" w:hAnsi="Times New Roman" w:cs="Times New Roman"/>
          <w:sz w:val="21"/>
        </w:rPr>
      </w:pPr>
      <w:r>
        <w:rPr>
          <w:rFonts w:hint="default" w:ascii="Times New Roman" w:hAnsi="Times New Roman" w:eastAsia="Calibri" w:cs="Times New Roman"/>
          <w:color w:val="000000"/>
          <w:sz w:val="21"/>
        </w:rPr>
        <w:t>1</w:t>
      </w:r>
      <w:r>
        <w:rPr>
          <w:rFonts w:hint="eastAsia" w:ascii="Times New Roman" w:hAnsi="Times New Roman" w:eastAsia="宋体" w:cs="Times New Roman"/>
          <w:color w:val="000000"/>
          <w:sz w:val="21"/>
          <w:lang w:val="en-US" w:eastAsia="zh-CN"/>
        </w:rPr>
        <w:t>.</w:t>
      </w:r>
      <w:r>
        <w:rPr>
          <w:rFonts w:hint="default" w:ascii="Times New Roman" w:hAnsi="Times New Roman" w:eastAsia="宋体" w:cs="Times New Roman"/>
          <w:color w:val="000000"/>
          <w:sz w:val="21"/>
        </w:rPr>
        <w:t>《</w:t>
      </w:r>
      <w:r>
        <w:rPr>
          <w:rFonts w:hint="default" w:ascii="Times New Roman" w:hAnsi="Times New Roman" w:eastAsia="Calibri" w:cs="Times New Roman"/>
          <w:color w:val="000000"/>
          <w:sz w:val="21"/>
        </w:rPr>
        <w:t>XXXX</w:t>
      </w:r>
      <w:r>
        <w:rPr>
          <w:rFonts w:hint="default" w:ascii="Times New Roman" w:hAnsi="Times New Roman" w:eastAsia="宋体" w:cs="Times New Roman"/>
          <w:color w:val="000000"/>
          <w:sz w:val="21"/>
        </w:rPr>
        <w:t>公司医用耗材供货目录表》统一为</w:t>
      </w:r>
      <w:r>
        <w:rPr>
          <w:rFonts w:hint="default" w:ascii="Times New Roman" w:hAnsi="Times New Roman" w:eastAsia="Calibri" w:cs="Times New Roman"/>
          <w:color w:val="000000"/>
          <w:sz w:val="21"/>
        </w:rPr>
        <w:t>EXCEL</w:t>
      </w:r>
      <w:r>
        <w:rPr>
          <w:rFonts w:hint="default" w:ascii="Times New Roman" w:hAnsi="Times New Roman" w:eastAsia="宋体" w:cs="Times New Roman"/>
          <w:color w:val="000000"/>
          <w:sz w:val="21"/>
        </w:rPr>
        <w:t>电子版</w:t>
      </w:r>
      <w:r>
        <w:rPr>
          <w:rFonts w:hint="default" w:ascii="Times New Roman" w:hAnsi="Times New Roman" w:eastAsia="宋体" w:cs="Times New Roman"/>
          <w:color w:val="000000"/>
          <w:sz w:val="21"/>
          <w:lang w:eastAsia="zh-CN"/>
        </w:rPr>
        <w:t>存放</w:t>
      </w:r>
      <w:r>
        <w:rPr>
          <w:rFonts w:hint="default" w:ascii="Times New Roman" w:hAnsi="Times New Roman" w:eastAsia="宋体" w:cs="Times New Roman"/>
          <w:color w:val="000000"/>
          <w:sz w:val="21"/>
          <w:lang w:val="en-US" w:eastAsia="zh-CN"/>
        </w:rPr>
        <w:t>u盘提交</w:t>
      </w:r>
      <w:r>
        <w:rPr>
          <w:rFonts w:hint="default" w:ascii="Times New Roman" w:hAnsi="Times New Roman" w:eastAsia="宋体" w:cs="Times New Roman"/>
          <w:color w:val="000000"/>
          <w:sz w:val="21"/>
        </w:rPr>
        <w:t>；</w:t>
      </w:r>
    </w:p>
    <w:p w14:paraId="09255AE6">
      <w:pPr>
        <w:spacing w:before="82" w:after="0" w:line="336" w:lineRule="auto"/>
        <w:jc w:val="both"/>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val="en-US" w:eastAsia="zh-CN"/>
        </w:rPr>
        <w:t>2.</w:t>
      </w:r>
      <w:r>
        <w:rPr>
          <w:rFonts w:hint="default" w:ascii="Times New Roman" w:hAnsi="Times New Roman" w:eastAsia="宋体" w:cs="Times New Roman"/>
          <w:color w:val="000000"/>
          <w:sz w:val="21"/>
        </w:rPr>
        <w:t>“最终供货价格”为最终供货价格</w:t>
      </w:r>
      <w:r>
        <w:rPr>
          <w:rFonts w:hint="eastAsia" w:ascii="Times New Roman" w:hAnsi="Times New Roman" w:eastAsia="宋体" w:cs="Times New Roman"/>
          <w:color w:val="000000"/>
          <w:sz w:val="21"/>
          <w:lang w:eastAsia="zh-CN"/>
        </w:rPr>
        <w:t>，</w:t>
      </w:r>
      <w:r>
        <w:rPr>
          <w:rFonts w:hint="eastAsia" w:ascii="Times New Roman" w:hAnsi="Times New Roman" w:eastAsia="宋体" w:cs="Times New Roman"/>
          <w:color w:val="000000"/>
          <w:sz w:val="21"/>
          <w:lang w:val="en-US" w:eastAsia="zh-CN"/>
        </w:rPr>
        <w:t>无二次报价</w:t>
      </w:r>
      <w:r>
        <w:rPr>
          <w:rFonts w:hint="eastAsia" w:ascii="Times New Roman" w:hAnsi="Times New Roman" w:eastAsia="宋体" w:cs="Times New Roman"/>
          <w:color w:val="000000"/>
          <w:sz w:val="21"/>
          <w:lang w:eastAsia="zh-CN"/>
        </w:rPr>
        <w:t>；</w:t>
      </w:r>
    </w:p>
    <w:p w14:paraId="6E59D9AC">
      <w:pPr>
        <w:spacing w:before="82" w:after="0" w:line="336" w:lineRule="auto"/>
        <w:jc w:val="both"/>
        <w:rPr>
          <w:rFonts w:hint="default"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3.是否挂网，标明非、阳光采购、集采等。</w:t>
      </w:r>
    </w:p>
    <w:p w14:paraId="2DAB77B0">
      <w:pPr>
        <w:rPr>
          <w:rFonts w:hint="default" w:ascii="Times New Roman" w:hAnsi="Times New Roman" w:cs="Times New Roman"/>
          <w:b w:val="0"/>
          <w:bCs w:val="0"/>
          <w:color w:val="auto"/>
          <w:lang w:val="en-US" w:eastAsia="zh-CN"/>
        </w:rPr>
      </w:pPr>
    </w:p>
    <w:p w14:paraId="7C4C514F"/>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90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F0C6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5DF0C6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66569673"/>
    <w:multiLevelType w:val="singleLevel"/>
    <w:tmpl w:val="66569673"/>
    <w:lvl w:ilvl="0" w:tentative="0">
      <w:start w:val="3"/>
      <w:numFmt w:val="chineseCounting"/>
      <w:suff w:val="nothing"/>
      <w:lvlText w:val="（%1）"/>
      <w:lvlJc w:val="left"/>
      <w:rPr>
        <w:rFonts w:hint="eastAsia"/>
      </w:rPr>
    </w:lvl>
  </w:abstractNum>
  <w:abstractNum w:abstractNumId="2">
    <w:nsid w:val="6983D41D"/>
    <w:multiLevelType w:val="singleLevel"/>
    <w:tmpl w:val="6983D41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6B60"/>
    <w:rsid w:val="005E1307"/>
    <w:rsid w:val="00AC7496"/>
    <w:rsid w:val="01463C79"/>
    <w:rsid w:val="018D100F"/>
    <w:rsid w:val="01912E05"/>
    <w:rsid w:val="01A57759"/>
    <w:rsid w:val="01AE7224"/>
    <w:rsid w:val="01D55208"/>
    <w:rsid w:val="01F15959"/>
    <w:rsid w:val="02393D0C"/>
    <w:rsid w:val="0242609A"/>
    <w:rsid w:val="028C35BE"/>
    <w:rsid w:val="02B20B09"/>
    <w:rsid w:val="030462AB"/>
    <w:rsid w:val="033E38EE"/>
    <w:rsid w:val="035A53DF"/>
    <w:rsid w:val="037D4A86"/>
    <w:rsid w:val="03CB71DE"/>
    <w:rsid w:val="044528B4"/>
    <w:rsid w:val="04F47E42"/>
    <w:rsid w:val="05026347"/>
    <w:rsid w:val="056231AD"/>
    <w:rsid w:val="059E3922"/>
    <w:rsid w:val="05B640DD"/>
    <w:rsid w:val="05D90889"/>
    <w:rsid w:val="06304B70"/>
    <w:rsid w:val="06F137A3"/>
    <w:rsid w:val="072F575C"/>
    <w:rsid w:val="077B5D85"/>
    <w:rsid w:val="078D3784"/>
    <w:rsid w:val="07C81105"/>
    <w:rsid w:val="07E8771A"/>
    <w:rsid w:val="08976B9A"/>
    <w:rsid w:val="08AD1B47"/>
    <w:rsid w:val="08F63C89"/>
    <w:rsid w:val="09075DF7"/>
    <w:rsid w:val="092C4EED"/>
    <w:rsid w:val="09470485"/>
    <w:rsid w:val="09ED160E"/>
    <w:rsid w:val="09FA091A"/>
    <w:rsid w:val="0A1762C7"/>
    <w:rsid w:val="0A472F87"/>
    <w:rsid w:val="0A4A7F41"/>
    <w:rsid w:val="0A6C7568"/>
    <w:rsid w:val="0A814974"/>
    <w:rsid w:val="0A9F1F42"/>
    <w:rsid w:val="0BBC1775"/>
    <w:rsid w:val="0BC76462"/>
    <w:rsid w:val="0BF92F0C"/>
    <w:rsid w:val="0C0179CA"/>
    <w:rsid w:val="0C0E5327"/>
    <w:rsid w:val="0CE26F77"/>
    <w:rsid w:val="0D3A2530"/>
    <w:rsid w:val="0DAA56A3"/>
    <w:rsid w:val="0DCF3C5F"/>
    <w:rsid w:val="0E141D4E"/>
    <w:rsid w:val="0E640402"/>
    <w:rsid w:val="0E6B4C7D"/>
    <w:rsid w:val="0E861EA6"/>
    <w:rsid w:val="0EA602E3"/>
    <w:rsid w:val="0EE809A2"/>
    <w:rsid w:val="0F1E617F"/>
    <w:rsid w:val="0F676624"/>
    <w:rsid w:val="0F7B169F"/>
    <w:rsid w:val="0FE23659"/>
    <w:rsid w:val="0FF368ED"/>
    <w:rsid w:val="100A3ABB"/>
    <w:rsid w:val="101633A0"/>
    <w:rsid w:val="1053498D"/>
    <w:rsid w:val="10581DB3"/>
    <w:rsid w:val="10E64E35"/>
    <w:rsid w:val="10ED1552"/>
    <w:rsid w:val="11506ECE"/>
    <w:rsid w:val="118B5832"/>
    <w:rsid w:val="11D97A49"/>
    <w:rsid w:val="11F6332E"/>
    <w:rsid w:val="12220813"/>
    <w:rsid w:val="122B7480"/>
    <w:rsid w:val="12451032"/>
    <w:rsid w:val="125A40B7"/>
    <w:rsid w:val="12A709D6"/>
    <w:rsid w:val="12CD2250"/>
    <w:rsid w:val="12F23F87"/>
    <w:rsid w:val="1320446E"/>
    <w:rsid w:val="13471DE8"/>
    <w:rsid w:val="138E576D"/>
    <w:rsid w:val="139D4BAE"/>
    <w:rsid w:val="13B66276"/>
    <w:rsid w:val="143F5726"/>
    <w:rsid w:val="14943412"/>
    <w:rsid w:val="14AE309A"/>
    <w:rsid w:val="153F1102"/>
    <w:rsid w:val="15CB6C13"/>
    <w:rsid w:val="16136CF3"/>
    <w:rsid w:val="165C2B2B"/>
    <w:rsid w:val="171C1A83"/>
    <w:rsid w:val="171D3039"/>
    <w:rsid w:val="17321A07"/>
    <w:rsid w:val="173D1588"/>
    <w:rsid w:val="178C0CE2"/>
    <w:rsid w:val="179261C5"/>
    <w:rsid w:val="17AD4C88"/>
    <w:rsid w:val="182317FD"/>
    <w:rsid w:val="18B8257F"/>
    <w:rsid w:val="18FF646E"/>
    <w:rsid w:val="190A48EC"/>
    <w:rsid w:val="198A458F"/>
    <w:rsid w:val="19F516D1"/>
    <w:rsid w:val="1A447342"/>
    <w:rsid w:val="1A971916"/>
    <w:rsid w:val="1B3C6AD6"/>
    <w:rsid w:val="1B730238"/>
    <w:rsid w:val="1B7443FC"/>
    <w:rsid w:val="1BB30454"/>
    <w:rsid w:val="1C121730"/>
    <w:rsid w:val="1CC33C7C"/>
    <w:rsid w:val="1CF55AF5"/>
    <w:rsid w:val="1CF64083"/>
    <w:rsid w:val="1D013286"/>
    <w:rsid w:val="1D7C717E"/>
    <w:rsid w:val="1DAB6AB8"/>
    <w:rsid w:val="1DD869D7"/>
    <w:rsid w:val="1E7E5396"/>
    <w:rsid w:val="1E9E67B0"/>
    <w:rsid w:val="1EAC3D3F"/>
    <w:rsid w:val="1EB31E3D"/>
    <w:rsid w:val="1ED73BF1"/>
    <w:rsid w:val="1F2E4E06"/>
    <w:rsid w:val="1F3666D2"/>
    <w:rsid w:val="1F38756B"/>
    <w:rsid w:val="1F7D1DD1"/>
    <w:rsid w:val="1FA94FFA"/>
    <w:rsid w:val="1FBE1A7E"/>
    <w:rsid w:val="20A02966"/>
    <w:rsid w:val="20A44C48"/>
    <w:rsid w:val="20BC71E0"/>
    <w:rsid w:val="20D0113D"/>
    <w:rsid w:val="20E55DEA"/>
    <w:rsid w:val="20EA1E92"/>
    <w:rsid w:val="20EE3530"/>
    <w:rsid w:val="20EE5F21"/>
    <w:rsid w:val="21126C95"/>
    <w:rsid w:val="213D225C"/>
    <w:rsid w:val="21713AE3"/>
    <w:rsid w:val="21B15B51"/>
    <w:rsid w:val="21D74781"/>
    <w:rsid w:val="21E97DC3"/>
    <w:rsid w:val="21F11FD6"/>
    <w:rsid w:val="22A53882"/>
    <w:rsid w:val="22C753B5"/>
    <w:rsid w:val="22DC1CDC"/>
    <w:rsid w:val="23153D7E"/>
    <w:rsid w:val="235973FA"/>
    <w:rsid w:val="236B3C70"/>
    <w:rsid w:val="23A512AC"/>
    <w:rsid w:val="23F11925"/>
    <w:rsid w:val="242302D4"/>
    <w:rsid w:val="247D09D7"/>
    <w:rsid w:val="24B93E98"/>
    <w:rsid w:val="24C17613"/>
    <w:rsid w:val="24F17F32"/>
    <w:rsid w:val="25025FAD"/>
    <w:rsid w:val="25275822"/>
    <w:rsid w:val="25337DF5"/>
    <w:rsid w:val="257C35C6"/>
    <w:rsid w:val="25CC3B1F"/>
    <w:rsid w:val="25DF0B08"/>
    <w:rsid w:val="2661145C"/>
    <w:rsid w:val="266F45F2"/>
    <w:rsid w:val="267A688F"/>
    <w:rsid w:val="268C26B5"/>
    <w:rsid w:val="26BB30EA"/>
    <w:rsid w:val="27596F6E"/>
    <w:rsid w:val="28663811"/>
    <w:rsid w:val="2893390E"/>
    <w:rsid w:val="28B50AD9"/>
    <w:rsid w:val="28D86F2E"/>
    <w:rsid w:val="291D51E2"/>
    <w:rsid w:val="29306544"/>
    <w:rsid w:val="293D7F69"/>
    <w:rsid w:val="29490661"/>
    <w:rsid w:val="297C525E"/>
    <w:rsid w:val="29AC4CA7"/>
    <w:rsid w:val="29EE7527"/>
    <w:rsid w:val="2A624112"/>
    <w:rsid w:val="2AE2654C"/>
    <w:rsid w:val="2B7B1A65"/>
    <w:rsid w:val="2B987F01"/>
    <w:rsid w:val="2BCA5E40"/>
    <w:rsid w:val="2C1C5EDB"/>
    <w:rsid w:val="2C606FFF"/>
    <w:rsid w:val="2CDE0204"/>
    <w:rsid w:val="2D1D082A"/>
    <w:rsid w:val="2D76025E"/>
    <w:rsid w:val="2D99559E"/>
    <w:rsid w:val="2E0B4F35"/>
    <w:rsid w:val="2E165519"/>
    <w:rsid w:val="2E3C3367"/>
    <w:rsid w:val="2E81077D"/>
    <w:rsid w:val="2E98010B"/>
    <w:rsid w:val="2F250E9A"/>
    <w:rsid w:val="2F8A47E8"/>
    <w:rsid w:val="2F9B18FB"/>
    <w:rsid w:val="2FA11E5E"/>
    <w:rsid w:val="30B54EFB"/>
    <w:rsid w:val="30C438AE"/>
    <w:rsid w:val="311701D3"/>
    <w:rsid w:val="313D7E8A"/>
    <w:rsid w:val="3193610D"/>
    <w:rsid w:val="31AB0C99"/>
    <w:rsid w:val="31B846CD"/>
    <w:rsid w:val="31D0377F"/>
    <w:rsid w:val="31F0198B"/>
    <w:rsid w:val="322A395D"/>
    <w:rsid w:val="326F1A35"/>
    <w:rsid w:val="32717C3E"/>
    <w:rsid w:val="32914491"/>
    <w:rsid w:val="332E3D63"/>
    <w:rsid w:val="337B0444"/>
    <w:rsid w:val="34175DB5"/>
    <w:rsid w:val="341C59BD"/>
    <w:rsid w:val="344969DE"/>
    <w:rsid w:val="34AA1E6F"/>
    <w:rsid w:val="350D7ED6"/>
    <w:rsid w:val="35174EE6"/>
    <w:rsid w:val="35224376"/>
    <w:rsid w:val="35463ED9"/>
    <w:rsid w:val="355C5FA6"/>
    <w:rsid w:val="363741E7"/>
    <w:rsid w:val="3665599E"/>
    <w:rsid w:val="367A7801"/>
    <w:rsid w:val="36A267C5"/>
    <w:rsid w:val="36A835E7"/>
    <w:rsid w:val="36B53736"/>
    <w:rsid w:val="37010645"/>
    <w:rsid w:val="37081F80"/>
    <w:rsid w:val="37184C10"/>
    <w:rsid w:val="37202AF6"/>
    <w:rsid w:val="374A11E0"/>
    <w:rsid w:val="37636C42"/>
    <w:rsid w:val="37784A14"/>
    <w:rsid w:val="37995D5F"/>
    <w:rsid w:val="379E11AD"/>
    <w:rsid w:val="380B7548"/>
    <w:rsid w:val="382B4F8E"/>
    <w:rsid w:val="389B0439"/>
    <w:rsid w:val="39250BAA"/>
    <w:rsid w:val="39360A70"/>
    <w:rsid w:val="396C492A"/>
    <w:rsid w:val="39B07CA6"/>
    <w:rsid w:val="39DA0BF6"/>
    <w:rsid w:val="3A3D4144"/>
    <w:rsid w:val="3ACD324B"/>
    <w:rsid w:val="3B01651E"/>
    <w:rsid w:val="3B7172DB"/>
    <w:rsid w:val="3B7C34AA"/>
    <w:rsid w:val="3BC25A53"/>
    <w:rsid w:val="3BE85F12"/>
    <w:rsid w:val="3BEE61A7"/>
    <w:rsid w:val="3C006D02"/>
    <w:rsid w:val="3C0C580A"/>
    <w:rsid w:val="3C7D494B"/>
    <w:rsid w:val="3CA12531"/>
    <w:rsid w:val="3D465093"/>
    <w:rsid w:val="3DB02676"/>
    <w:rsid w:val="3DB82E6A"/>
    <w:rsid w:val="3E2A54DE"/>
    <w:rsid w:val="3EBD73C0"/>
    <w:rsid w:val="3EDA3CA3"/>
    <w:rsid w:val="3F6A5659"/>
    <w:rsid w:val="3FE94B49"/>
    <w:rsid w:val="40181A7A"/>
    <w:rsid w:val="40AB4F71"/>
    <w:rsid w:val="40DA6D08"/>
    <w:rsid w:val="412D6C6F"/>
    <w:rsid w:val="41420A01"/>
    <w:rsid w:val="417B40A7"/>
    <w:rsid w:val="41AB0D18"/>
    <w:rsid w:val="41C35EBF"/>
    <w:rsid w:val="42393CCE"/>
    <w:rsid w:val="425D1E46"/>
    <w:rsid w:val="42827DB1"/>
    <w:rsid w:val="428E4B18"/>
    <w:rsid w:val="42DA11FA"/>
    <w:rsid w:val="43273A09"/>
    <w:rsid w:val="43622B0E"/>
    <w:rsid w:val="438A4FA1"/>
    <w:rsid w:val="439F7DE9"/>
    <w:rsid w:val="43CD0343"/>
    <w:rsid w:val="43D12312"/>
    <w:rsid w:val="43E9752E"/>
    <w:rsid w:val="44877B8B"/>
    <w:rsid w:val="44C11F0C"/>
    <w:rsid w:val="452652AC"/>
    <w:rsid w:val="45332D9B"/>
    <w:rsid w:val="45437390"/>
    <w:rsid w:val="457C74DC"/>
    <w:rsid w:val="45D64C25"/>
    <w:rsid w:val="45E41972"/>
    <w:rsid w:val="46076196"/>
    <w:rsid w:val="46162856"/>
    <w:rsid w:val="46762741"/>
    <w:rsid w:val="467C27F2"/>
    <w:rsid w:val="46AC0027"/>
    <w:rsid w:val="46BB5273"/>
    <w:rsid w:val="46C35327"/>
    <w:rsid w:val="46D158EF"/>
    <w:rsid w:val="46F23396"/>
    <w:rsid w:val="47207C37"/>
    <w:rsid w:val="47587573"/>
    <w:rsid w:val="47764D5B"/>
    <w:rsid w:val="47A522FF"/>
    <w:rsid w:val="47E66910"/>
    <w:rsid w:val="47E957E4"/>
    <w:rsid w:val="48106551"/>
    <w:rsid w:val="48C90473"/>
    <w:rsid w:val="48F30B9C"/>
    <w:rsid w:val="494527EB"/>
    <w:rsid w:val="497D54D1"/>
    <w:rsid w:val="49843E8A"/>
    <w:rsid w:val="49B0053C"/>
    <w:rsid w:val="49EA2898"/>
    <w:rsid w:val="4A253DE3"/>
    <w:rsid w:val="4A4C6257"/>
    <w:rsid w:val="4A640780"/>
    <w:rsid w:val="4A6510A1"/>
    <w:rsid w:val="4A6B5235"/>
    <w:rsid w:val="4A7464D2"/>
    <w:rsid w:val="4A822FC4"/>
    <w:rsid w:val="4AB65DFF"/>
    <w:rsid w:val="4B0662B4"/>
    <w:rsid w:val="4B1E66D4"/>
    <w:rsid w:val="4B305279"/>
    <w:rsid w:val="4BCA0557"/>
    <w:rsid w:val="4C0B5CF5"/>
    <w:rsid w:val="4C226A66"/>
    <w:rsid w:val="4C23737E"/>
    <w:rsid w:val="4C3F5FD3"/>
    <w:rsid w:val="4C4A58B2"/>
    <w:rsid w:val="4C511D4A"/>
    <w:rsid w:val="4C923EF3"/>
    <w:rsid w:val="4C947C37"/>
    <w:rsid w:val="4CA61135"/>
    <w:rsid w:val="4D5D795B"/>
    <w:rsid w:val="4D8C5D7B"/>
    <w:rsid w:val="4DCA16DD"/>
    <w:rsid w:val="4DD52C45"/>
    <w:rsid w:val="4DD66FF7"/>
    <w:rsid w:val="4DF43C42"/>
    <w:rsid w:val="4E39222C"/>
    <w:rsid w:val="4E4517B9"/>
    <w:rsid w:val="4E8E2175"/>
    <w:rsid w:val="4E9031B0"/>
    <w:rsid w:val="4EE368E9"/>
    <w:rsid w:val="4F1B68B5"/>
    <w:rsid w:val="4F2133A2"/>
    <w:rsid w:val="4FCA6F13"/>
    <w:rsid w:val="4FD43B12"/>
    <w:rsid w:val="4FE00096"/>
    <w:rsid w:val="4FE22CE3"/>
    <w:rsid w:val="50591BCF"/>
    <w:rsid w:val="5067292C"/>
    <w:rsid w:val="509B0B92"/>
    <w:rsid w:val="50EC708B"/>
    <w:rsid w:val="51144EA8"/>
    <w:rsid w:val="513910EF"/>
    <w:rsid w:val="5156599B"/>
    <w:rsid w:val="51783E09"/>
    <w:rsid w:val="51824B8D"/>
    <w:rsid w:val="519E7B01"/>
    <w:rsid w:val="51CB2CCE"/>
    <w:rsid w:val="51D86BDB"/>
    <w:rsid w:val="51EE5065"/>
    <w:rsid w:val="51F75313"/>
    <w:rsid w:val="52482F3E"/>
    <w:rsid w:val="525D0168"/>
    <w:rsid w:val="52857A94"/>
    <w:rsid w:val="52AD5001"/>
    <w:rsid w:val="52D70450"/>
    <w:rsid w:val="53230EF4"/>
    <w:rsid w:val="53A40A3C"/>
    <w:rsid w:val="53AE7993"/>
    <w:rsid w:val="53D44A6A"/>
    <w:rsid w:val="53D77F27"/>
    <w:rsid w:val="5401310B"/>
    <w:rsid w:val="541C7833"/>
    <w:rsid w:val="541F6DA8"/>
    <w:rsid w:val="54721021"/>
    <w:rsid w:val="54A71547"/>
    <w:rsid w:val="55192BD5"/>
    <w:rsid w:val="555C7B0F"/>
    <w:rsid w:val="55A46221"/>
    <w:rsid w:val="55DE33D7"/>
    <w:rsid w:val="55F54E64"/>
    <w:rsid w:val="55FF65DA"/>
    <w:rsid w:val="563D3152"/>
    <w:rsid w:val="56487864"/>
    <w:rsid w:val="564F7928"/>
    <w:rsid w:val="56B01CA2"/>
    <w:rsid w:val="56E8177C"/>
    <w:rsid w:val="57106F27"/>
    <w:rsid w:val="5781444F"/>
    <w:rsid w:val="57C621BA"/>
    <w:rsid w:val="580A3A10"/>
    <w:rsid w:val="589D58FD"/>
    <w:rsid w:val="58B467EC"/>
    <w:rsid w:val="58BF7298"/>
    <w:rsid w:val="58C4606F"/>
    <w:rsid w:val="58DA2895"/>
    <w:rsid w:val="58DA5ED2"/>
    <w:rsid w:val="58DB4148"/>
    <w:rsid w:val="5A694804"/>
    <w:rsid w:val="5A7D7213"/>
    <w:rsid w:val="5AB019ED"/>
    <w:rsid w:val="5AC756D9"/>
    <w:rsid w:val="5B125203"/>
    <w:rsid w:val="5B3A5BA9"/>
    <w:rsid w:val="5B4E3306"/>
    <w:rsid w:val="5B5E19B1"/>
    <w:rsid w:val="5B945B8A"/>
    <w:rsid w:val="5BC90AA7"/>
    <w:rsid w:val="5BE116CB"/>
    <w:rsid w:val="5C3C4D6A"/>
    <w:rsid w:val="5C4B5D54"/>
    <w:rsid w:val="5CB14CBD"/>
    <w:rsid w:val="5CD21E40"/>
    <w:rsid w:val="5CDA3716"/>
    <w:rsid w:val="5CF442B9"/>
    <w:rsid w:val="5D091E3D"/>
    <w:rsid w:val="5D412956"/>
    <w:rsid w:val="5D6C354D"/>
    <w:rsid w:val="5D74411B"/>
    <w:rsid w:val="5D7E6345"/>
    <w:rsid w:val="5DE43427"/>
    <w:rsid w:val="5E51657E"/>
    <w:rsid w:val="5E693CBE"/>
    <w:rsid w:val="5E6D25BF"/>
    <w:rsid w:val="5FD360F5"/>
    <w:rsid w:val="60221614"/>
    <w:rsid w:val="603318F9"/>
    <w:rsid w:val="606C1C57"/>
    <w:rsid w:val="60706D1F"/>
    <w:rsid w:val="60A23DFA"/>
    <w:rsid w:val="60B73B24"/>
    <w:rsid w:val="60D270C7"/>
    <w:rsid w:val="60F237BF"/>
    <w:rsid w:val="61562EE2"/>
    <w:rsid w:val="61B632AE"/>
    <w:rsid w:val="628D3C5C"/>
    <w:rsid w:val="62AE57E0"/>
    <w:rsid w:val="62B02161"/>
    <w:rsid w:val="62DB5967"/>
    <w:rsid w:val="630F1BAC"/>
    <w:rsid w:val="633B1ECC"/>
    <w:rsid w:val="637852C4"/>
    <w:rsid w:val="63DE56CD"/>
    <w:rsid w:val="6417276B"/>
    <w:rsid w:val="647A43D5"/>
    <w:rsid w:val="64C86001"/>
    <w:rsid w:val="64F0666F"/>
    <w:rsid w:val="653F086B"/>
    <w:rsid w:val="656A554D"/>
    <w:rsid w:val="657B3F38"/>
    <w:rsid w:val="65C05956"/>
    <w:rsid w:val="65CB4CBE"/>
    <w:rsid w:val="65E110ED"/>
    <w:rsid w:val="65FB3258"/>
    <w:rsid w:val="66315527"/>
    <w:rsid w:val="666A3F95"/>
    <w:rsid w:val="667056D7"/>
    <w:rsid w:val="672B4678"/>
    <w:rsid w:val="679678D1"/>
    <w:rsid w:val="68156B57"/>
    <w:rsid w:val="68C7519A"/>
    <w:rsid w:val="6952728A"/>
    <w:rsid w:val="6979527C"/>
    <w:rsid w:val="69BD194A"/>
    <w:rsid w:val="69CB312D"/>
    <w:rsid w:val="69DE5974"/>
    <w:rsid w:val="69FD151D"/>
    <w:rsid w:val="6A1443F1"/>
    <w:rsid w:val="6A271B1B"/>
    <w:rsid w:val="6A2B5E9E"/>
    <w:rsid w:val="6A8537F6"/>
    <w:rsid w:val="6B715813"/>
    <w:rsid w:val="6B777BDB"/>
    <w:rsid w:val="6B985865"/>
    <w:rsid w:val="6BB43673"/>
    <w:rsid w:val="6BC7544E"/>
    <w:rsid w:val="6C7936AB"/>
    <w:rsid w:val="6C9C7CA3"/>
    <w:rsid w:val="6CFF3D50"/>
    <w:rsid w:val="6D16787C"/>
    <w:rsid w:val="6D1B40CE"/>
    <w:rsid w:val="6D1E5D32"/>
    <w:rsid w:val="6D8A629C"/>
    <w:rsid w:val="6D9159E2"/>
    <w:rsid w:val="6DA62CDA"/>
    <w:rsid w:val="6E042066"/>
    <w:rsid w:val="6E2360AD"/>
    <w:rsid w:val="6E676822"/>
    <w:rsid w:val="6E9139C8"/>
    <w:rsid w:val="6EF45E2B"/>
    <w:rsid w:val="6F6E6794"/>
    <w:rsid w:val="6F865C6B"/>
    <w:rsid w:val="6FB850BF"/>
    <w:rsid w:val="6FC61675"/>
    <w:rsid w:val="6FC6263C"/>
    <w:rsid w:val="6FCD7ED2"/>
    <w:rsid w:val="6FE822BC"/>
    <w:rsid w:val="70460FAC"/>
    <w:rsid w:val="707F0F95"/>
    <w:rsid w:val="70AA52F9"/>
    <w:rsid w:val="70D44F45"/>
    <w:rsid w:val="71066665"/>
    <w:rsid w:val="71136DF0"/>
    <w:rsid w:val="71D06658"/>
    <w:rsid w:val="722F7083"/>
    <w:rsid w:val="729E52AD"/>
    <w:rsid w:val="73027DD4"/>
    <w:rsid w:val="7305675E"/>
    <w:rsid w:val="731B211E"/>
    <w:rsid w:val="73200F2E"/>
    <w:rsid w:val="733E154A"/>
    <w:rsid w:val="73453D18"/>
    <w:rsid w:val="73DE1B79"/>
    <w:rsid w:val="74236356"/>
    <w:rsid w:val="74CD6176"/>
    <w:rsid w:val="75A1053D"/>
    <w:rsid w:val="76065E83"/>
    <w:rsid w:val="760A42AB"/>
    <w:rsid w:val="76324490"/>
    <w:rsid w:val="764339F4"/>
    <w:rsid w:val="76860974"/>
    <w:rsid w:val="76870BBC"/>
    <w:rsid w:val="7687396D"/>
    <w:rsid w:val="76D663D3"/>
    <w:rsid w:val="77503EF9"/>
    <w:rsid w:val="777674F2"/>
    <w:rsid w:val="77AB08C1"/>
    <w:rsid w:val="77D67C64"/>
    <w:rsid w:val="784F45A5"/>
    <w:rsid w:val="792668F5"/>
    <w:rsid w:val="793569D2"/>
    <w:rsid w:val="799634C8"/>
    <w:rsid w:val="79C56EB3"/>
    <w:rsid w:val="79D47392"/>
    <w:rsid w:val="79E50F80"/>
    <w:rsid w:val="79FF5279"/>
    <w:rsid w:val="7A1B31FE"/>
    <w:rsid w:val="7A2751C2"/>
    <w:rsid w:val="7A5F1E69"/>
    <w:rsid w:val="7AA0173C"/>
    <w:rsid w:val="7B2746D1"/>
    <w:rsid w:val="7B2912DB"/>
    <w:rsid w:val="7B5F32D9"/>
    <w:rsid w:val="7C070535"/>
    <w:rsid w:val="7C232D3C"/>
    <w:rsid w:val="7C49768A"/>
    <w:rsid w:val="7C6325B2"/>
    <w:rsid w:val="7C866061"/>
    <w:rsid w:val="7C8E094D"/>
    <w:rsid w:val="7CA737ED"/>
    <w:rsid w:val="7CAB4367"/>
    <w:rsid w:val="7CE12005"/>
    <w:rsid w:val="7CE43619"/>
    <w:rsid w:val="7CEF0FBB"/>
    <w:rsid w:val="7D102A8D"/>
    <w:rsid w:val="7D452D50"/>
    <w:rsid w:val="7D69085C"/>
    <w:rsid w:val="7E5B6596"/>
    <w:rsid w:val="7E6948AA"/>
    <w:rsid w:val="7E6E0395"/>
    <w:rsid w:val="7EA235F5"/>
    <w:rsid w:val="7F287EB1"/>
    <w:rsid w:val="7F43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2025-03-18T07:45:00Z</dcterms:created>
  <dc:creator>Administrator</dc:creator>
  <cp:lastModifiedBy>MOMO</cp:lastModifiedBy>
  <dcterms:modified xsi:type="dcterms:W3CDTF">2026-05-28T01:23:07Z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15AC0807AE974BFFA973D87D9145B184_12</vt:lpwstr>
  </property>
  <property fmtid="{D5CDD505-2E9C-101B-9397-08002B2CF9AE}" pid="4" name="KSOTemplateDocerSaveRecord">
    <vt:lpwstr>eyJoZGlkIjoiNDYwMTJlMWJkOTZkZjVjYjk1MmEyNzY2ZjI1OGI4ZmMiLCJ1c2VySWQiOiI2ODE3MTE1MTkifQ==</vt:lpwstr>
  </property>
</Properties>
</file>